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230" w:rsidRPr="00E330ED" w:rsidRDefault="007E3033" w:rsidP="00E330ED">
      <w:pPr>
        <w:ind w:firstLineChars="100" w:firstLine="281"/>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AF6230" w:rsidRPr="00E330ED">
        <w:rPr>
          <w:rFonts w:ascii="宋体" w:eastAsia="宋体" w:hAnsi="宋体" w:hint="eastAsia"/>
          <w:b/>
          <w:sz w:val="28"/>
          <w:szCs w:val="28"/>
        </w:rPr>
        <w:t>药学部住院楼地下室办公区域实验台定制项目</w:t>
      </w:r>
    </w:p>
    <w:p w:rsidR="00A62085" w:rsidRPr="00C3020F" w:rsidRDefault="007E3033" w:rsidP="00ED3071">
      <w:pPr>
        <w:jc w:val="center"/>
        <w:rPr>
          <w:rFonts w:ascii="宋体" w:eastAsia="宋体" w:hAnsi="宋体"/>
          <w:b/>
          <w:sz w:val="28"/>
          <w:szCs w:val="28"/>
        </w:rPr>
      </w:pPr>
      <w:r>
        <w:rPr>
          <w:rFonts w:ascii="宋体" w:eastAsia="宋体" w:hAnsi="宋体" w:hint="eastAsia"/>
          <w:b/>
          <w:sz w:val="28"/>
          <w:szCs w:val="28"/>
        </w:rPr>
        <w:t>采购文件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w:t>
      </w:r>
      <w:r w:rsidR="004E1767">
        <w:rPr>
          <w:rFonts w:ascii="宋体" w:eastAsia="宋体" w:hAnsi="宋体" w:hint="eastAsia"/>
          <w:b/>
          <w:sz w:val="24"/>
          <w:szCs w:val="24"/>
        </w:rPr>
        <w:t>比选</w:t>
      </w:r>
      <w:bookmarkStart w:id="1" w:name="_GoBack"/>
      <w:bookmarkEnd w:id="1"/>
      <w:r>
        <w:rPr>
          <w:rFonts w:ascii="宋体" w:eastAsia="宋体" w:hAnsi="宋体" w:hint="eastAsia"/>
          <w:b/>
          <w:sz w:val="24"/>
          <w:szCs w:val="24"/>
        </w:rPr>
        <w:t>公告</w:t>
      </w:r>
    </w:p>
    <w:p w:rsidR="008A548F" w:rsidRDefault="007E3033">
      <w:pPr>
        <w:ind w:firstLineChars="200" w:firstLine="420"/>
        <w:jc w:val="left"/>
        <w:rPr>
          <w:rFonts w:ascii="宋体" w:eastAsia="宋体" w:hAnsi="宋体"/>
          <w:szCs w:val="21"/>
        </w:rPr>
      </w:pPr>
      <w:r>
        <w:rPr>
          <w:rFonts w:ascii="宋体" w:eastAsia="宋体" w:hAnsi="宋体" w:hint="eastAsia"/>
          <w:szCs w:val="21"/>
        </w:rPr>
        <w:t>1、项目名称：</w:t>
      </w:r>
      <w:r w:rsidR="009A796F">
        <w:rPr>
          <w:rFonts w:ascii="宋体" w:eastAsia="宋体" w:hAnsi="宋体" w:hint="eastAsia"/>
          <w:szCs w:val="21"/>
        </w:rPr>
        <w:t>药学部住院楼地下室办公区域实验台定制项目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A548F">
        <w:rPr>
          <w:rFonts w:ascii="宋体" w:eastAsia="宋体" w:hAnsi="宋体" w:hint="eastAsia"/>
          <w:szCs w:val="21"/>
        </w:rPr>
        <w:t>我院</w:t>
      </w:r>
      <w:r w:rsidR="009A796F">
        <w:rPr>
          <w:rFonts w:ascii="宋体" w:eastAsia="宋体" w:hAnsi="宋体" w:hint="eastAsia"/>
          <w:szCs w:val="21"/>
        </w:rPr>
        <w:t>药学部拟定购实验台一批</w:t>
      </w:r>
      <w:r w:rsidR="008A548F" w:rsidRPr="008A548F">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BF6611">
        <w:rPr>
          <w:rFonts w:ascii="宋体" w:eastAsia="宋体" w:hAnsi="宋体"/>
          <w:szCs w:val="21"/>
        </w:rPr>
        <w:t>9.28</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w:t>
      </w:r>
      <w:r w:rsidR="00703C94">
        <w:rPr>
          <w:rFonts w:ascii="宋体" w:eastAsia="宋体" w:hAnsi="宋体"/>
          <w:szCs w:val="21"/>
        </w:rPr>
        <w:t>5</w:t>
      </w:r>
      <w:r>
        <w:rPr>
          <w:rFonts w:ascii="宋体" w:eastAsia="宋体" w:hAnsi="宋体" w:hint="eastAsia"/>
          <w:szCs w:val="21"/>
        </w:rPr>
        <w:t>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w:t>
      </w:r>
      <w:r w:rsidR="006E2929">
        <w:rPr>
          <w:rFonts w:ascii="宋体" w:eastAsia="宋体" w:hAnsi="宋体" w:hint="eastAsia"/>
          <w:szCs w:val="21"/>
        </w:rPr>
        <w:t>投标须知</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sidR="00DD0A3D">
        <w:rPr>
          <w:rFonts w:ascii="宋体" w:eastAsia="宋体" w:hAnsi="宋体"/>
          <w:szCs w:val="21"/>
        </w:rPr>
        <w:t>2</w:t>
      </w:r>
      <w:r>
        <w:rPr>
          <w:rFonts w:ascii="宋体" w:eastAsia="宋体" w:hAnsi="宋体"/>
          <w:szCs w:val="21"/>
        </w:rPr>
        <w:t>年</w:t>
      </w:r>
      <w:r w:rsidR="00CC6AFA">
        <w:rPr>
          <w:rFonts w:ascii="宋体" w:eastAsia="宋体" w:hAnsi="宋体"/>
          <w:szCs w:val="21"/>
        </w:rPr>
        <w:t>11</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bookmarkEnd w:id="0"/>
    <w:p w:rsidR="00495500" w:rsidRPr="00495500" w:rsidRDefault="00495500" w:rsidP="00495500">
      <w:pPr>
        <w:widowControl/>
        <w:shd w:val="clear" w:color="auto" w:fill="FFFFFF"/>
        <w:spacing w:line="315" w:lineRule="atLeast"/>
        <w:ind w:firstLine="200"/>
        <w:rPr>
          <w:rFonts w:ascii="Calibri" w:eastAsia="宋体" w:hAnsi="Calibri" w:cs="Calibri"/>
          <w:kern w:val="0"/>
          <w:szCs w:val="21"/>
        </w:rPr>
      </w:pPr>
      <w:r w:rsidRPr="00495500">
        <w:rPr>
          <w:rFonts w:ascii="宋体" w:eastAsia="宋体" w:hAnsi="宋体" w:cs="Calibri" w:hint="eastAsia"/>
          <w:kern w:val="0"/>
          <w:sz w:val="24"/>
          <w:szCs w:val="24"/>
        </w:rPr>
        <w:t>8、报名需准备材料：①法人授权委托书、②法定代表人身份证复印件、③经办人身份证、④营业执照、⑤业绩证明，及投标须知内要求提供的其他资料。以上内容复印件加盖公章。</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200"/>
        <w:rPr>
          <w:rFonts w:ascii="Calibri" w:eastAsia="宋体" w:hAnsi="Calibri" w:cs="Calibri"/>
          <w:kern w:val="0"/>
          <w:szCs w:val="21"/>
        </w:rPr>
      </w:pPr>
      <w:r w:rsidRPr="00495500">
        <w:rPr>
          <w:rFonts w:ascii="宋体" w:eastAsia="宋体" w:hAnsi="宋体" w:cs="Calibri" w:hint="eastAsia"/>
          <w:kern w:val="0"/>
          <w:sz w:val="24"/>
          <w:szCs w:val="24"/>
        </w:rPr>
        <w:t>报名方式：响应人请将上述需提供的所有材料复印件加盖公章，以扫描件的形式发送到以下邮箱：rmyyzcbm@163.com。</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420"/>
        <w:rPr>
          <w:rFonts w:ascii="宋体" w:eastAsia="宋体" w:hAnsi="宋体" w:cs="Calibri"/>
          <w:kern w:val="0"/>
          <w:sz w:val="24"/>
          <w:szCs w:val="24"/>
        </w:rPr>
      </w:pPr>
      <w:r w:rsidRPr="00495500">
        <w:rPr>
          <w:rFonts w:ascii="宋体" w:eastAsia="宋体" w:hAnsi="宋体" w:cs="Calibri" w:hint="eastAsia"/>
          <w:kern w:val="0"/>
          <w:sz w:val="24"/>
          <w:szCs w:val="24"/>
        </w:rPr>
        <w:t>邮件命名方式：公司名称+</w:t>
      </w:r>
      <w:r w:rsidR="00AD10CE">
        <w:rPr>
          <w:rFonts w:ascii="宋体" w:eastAsia="宋体" w:hAnsi="宋体" w:cs="Calibri" w:hint="eastAsia"/>
          <w:kern w:val="0"/>
          <w:sz w:val="24"/>
          <w:szCs w:val="24"/>
        </w:rPr>
        <w:t>药学部</w:t>
      </w:r>
      <w:r w:rsidR="00AD10CE" w:rsidRPr="00AD10CE">
        <w:rPr>
          <w:rFonts w:ascii="宋体" w:eastAsia="宋体" w:hAnsi="宋体" w:cs="Calibri" w:hint="eastAsia"/>
          <w:kern w:val="0"/>
          <w:sz w:val="24"/>
          <w:szCs w:val="24"/>
        </w:rPr>
        <w:t>实验台定制项目</w:t>
      </w:r>
      <w:r w:rsidRPr="00495500">
        <w:rPr>
          <w:rFonts w:ascii="宋体" w:eastAsia="宋体" w:hAnsi="宋体" w:cs="Calibri" w:hint="eastAsia"/>
          <w:kern w:val="0"/>
          <w:sz w:val="24"/>
          <w:szCs w:val="24"/>
        </w:rPr>
        <w:t>材料。</w:t>
      </w:r>
      <w:r w:rsidRPr="00495500">
        <w:rPr>
          <w:rFonts w:ascii="宋体" w:eastAsia="宋体" w:hAnsi="宋体" w:cs="Calibri"/>
          <w:kern w:val="0"/>
          <w:sz w:val="24"/>
          <w:szCs w:val="24"/>
        </w:rPr>
        <w:t xml:space="preserve"> </w:t>
      </w:r>
    </w:p>
    <w:p w:rsidR="00495500" w:rsidRPr="00495500" w:rsidRDefault="00495500" w:rsidP="00495500">
      <w:pPr>
        <w:widowControl/>
        <w:shd w:val="clear" w:color="auto" w:fill="FFFFFF"/>
        <w:spacing w:line="315" w:lineRule="atLeast"/>
        <w:ind w:firstLine="420"/>
        <w:rPr>
          <w:rFonts w:ascii="Calibri" w:eastAsia="宋体" w:hAnsi="Calibri" w:cs="Calibri"/>
          <w:kern w:val="0"/>
          <w:szCs w:val="21"/>
        </w:rPr>
      </w:pPr>
      <w:r w:rsidRPr="00495500">
        <w:rPr>
          <w:rFonts w:ascii="宋体" w:eastAsia="宋体" w:hAnsi="宋体" w:cs="Calibri" w:hint="eastAsia"/>
          <w:kern w:val="0"/>
          <w:sz w:val="24"/>
          <w:szCs w:val="24"/>
        </w:rPr>
        <w:t>邮件内需注明经办人姓名、联系方式、邮箱。</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420"/>
        <w:rPr>
          <w:rFonts w:ascii="Calibri" w:eastAsia="宋体" w:hAnsi="Calibri" w:cs="Calibri"/>
          <w:kern w:val="0"/>
          <w:szCs w:val="21"/>
        </w:rPr>
      </w:pPr>
      <w:r w:rsidRPr="00495500">
        <w:rPr>
          <w:rFonts w:ascii="宋体" w:eastAsia="宋体" w:hAnsi="宋体" w:cs="Calibri" w:hint="eastAsia"/>
          <w:kern w:val="0"/>
          <w:sz w:val="24"/>
          <w:szCs w:val="24"/>
        </w:rPr>
        <w:t>报名时间：2025年11月2</w:t>
      </w:r>
      <w:r w:rsidR="00AD10CE">
        <w:rPr>
          <w:rFonts w:ascii="宋体" w:eastAsia="宋体" w:hAnsi="宋体" w:cs="Calibri"/>
          <w:kern w:val="0"/>
          <w:sz w:val="24"/>
          <w:szCs w:val="24"/>
        </w:rPr>
        <w:t>8</w:t>
      </w:r>
      <w:r w:rsidRPr="00495500">
        <w:rPr>
          <w:rFonts w:ascii="宋体" w:eastAsia="宋体" w:hAnsi="宋体" w:cs="Calibri" w:hint="eastAsia"/>
          <w:kern w:val="0"/>
          <w:sz w:val="24"/>
          <w:szCs w:val="24"/>
        </w:rPr>
        <w:t>日9:00——2025年1</w:t>
      </w:r>
      <w:r w:rsidR="00AD10CE">
        <w:rPr>
          <w:rFonts w:ascii="宋体" w:eastAsia="宋体" w:hAnsi="宋体" w:cs="Calibri"/>
          <w:kern w:val="0"/>
          <w:sz w:val="24"/>
          <w:szCs w:val="24"/>
        </w:rPr>
        <w:t>2</w:t>
      </w:r>
      <w:r w:rsidRPr="00495500">
        <w:rPr>
          <w:rFonts w:ascii="宋体" w:eastAsia="宋体" w:hAnsi="宋体" w:cs="Calibri" w:hint="eastAsia"/>
          <w:kern w:val="0"/>
          <w:sz w:val="24"/>
          <w:szCs w:val="24"/>
        </w:rPr>
        <w:t>月</w:t>
      </w:r>
      <w:r w:rsidR="00AD10CE">
        <w:rPr>
          <w:rFonts w:ascii="宋体" w:eastAsia="宋体" w:hAnsi="宋体" w:cs="Calibri"/>
          <w:kern w:val="0"/>
          <w:sz w:val="24"/>
          <w:szCs w:val="24"/>
        </w:rPr>
        <w:t>2</w:t>
      </w:r>
      <w:r w:rsidRPr="00495500">
        <w:rPr>
          <w:rFonts w:ascii="宋体" w:eastAsia="宋体" w:hAnsi="宋体" w:cs="Calibri" w:hint="eastAsia"/>
          <w:kern w:val="0"/>
          <w:sz w:val="24"/>
          <w:szCs w:val="24"/>
        </w:rPr>
        <w:t>日16:30</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420"/>
        <w:rPr>
          <w:rFonts w:ascii="Calibri" w:eastAsia="宋体" w:hAnsi="Calibri" w:cs="Calibri"/>
          <w:kern w:val="0"/>
          <w:szCs w:val="21"/>
        </w:rPr>
      </w:pPr>
      <w:r w:rsidRPr="00495500">
        <w:rPr>
          <w:rFonts w:ascii="宋体" w:eastAsia="宋体" w:hAnsi="宋体" w:cs="Calibri" w:hint="eastAsia"/>
          <w:kern w:val="0"/>
          <w:sz w:val="24"/>
          <w:szCs w:val="24"/>
        </w:rPr>
        <w:t>9、如有疑问请联系： 88317076张老师</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420"/>
        <w:rPr>
          <w:rFonts w:ascii="Calibri" w:eastAsia="宋体" w:hAnsi="Calibri" w:cs="Calibri"/>
          <w:kern w:val="0"/>
          <w:szCs w:val="21"/>
        </w:rPr>
      </w:pPr>
      <w:r w:rsidRPr="00495500">
        <w:rPr>
          <w:rFonts w:ascii="宋体" w:eastAsia="宋体" w:hAnsi="宋体" w:cs="Calibri" w:hint="eastAsia"/>
          <w:kern w:val="0"/>
          <w:sz w:val="24"/>
          <w:szCs w:val="24"/>
        </w:rPr>
        <w:t>10、比选文件详见本公告附件，请直接下载。</w:t>
      </w:r>
      <w:r w:rsidRPr="00495500">
        <w:rPr>
          <w:rFonts w:ascii="Calibri" w:eastAsia="宋体" w:hAnsi="Calibri" w:cs="Calibri"/>
          <w:kern w:val="0"/>
          <w:szCs w:val="21"/>
        </w:rPr>
        <w:t xml:space="preserve"> </w:t>
      </w:r>
    </w:p>
    <w:p w:rsidR="00495500" w:rsidRPr="00495500" w:rsidRDefault="00495500" w:rsidP="00495500">
      <w:pPr>
        <w:widowControl/>
        <w:shd w:val="clear" w:color="auto" w:fill="FFFFFF"/>
        <w:spacing w:line="315" w:lineRule="atLeast"/>
        <w:ind w:firstLine="420"/>
        <w:rPr>
          <w:rFonts w:ascii="Calibri" w:eastAsia="宋体" w:hAnsi="Calibri" w:cs="Calibri"/>
          <w:kern w:val="0"/>
          <w:szCs w:val="21"/>
        </w:rPr>
      </w:pPr>
      <w:r w:rsidRPr="00495500">
        <w:rPr>
          <w:rFonts w:ascii="宋体" w:eastAsia="宋体" w:hAnsi="宋体" w:cs="Calibri" w:hint="eastAsia"/>
          <w:kern w:val="0"/>
          <w:sz w:val="24"/>
          <w:szCs w:val="24"/>
        </w:rPr>
        <w:t>11、本公告于北京大学人民医院官方网站发布，请以官方网站信息及附件为准</w:t>
      </w:r>
    </w:p>
    <w:p w:rsidR="00495500" w:rsidRPr="00495500" w:rsidRDefault="00495500">
      <w:pPr>
        <w:ind w:firstLineChars="200" w:firstLine="420"/>
        <w:jc w:val="left"/>
        <w:rPr>
          <w:rFonts w:ascii="宋体" w:eastAsia="宋体" w:hAnsi="宋体"/>
          <w:szCs w:val="21"/>
        </w:rPr>
      </w:pPr>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FD22C6" w:rsidRDefault="00FD22C6" w:rsidP="00D1378B">
      <w:pPr>
        <w:spacing w:line="240" w:lineRule="atLeas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技术需求</w:t>
      </w:r>
    </w:p>
    <w:tbl>
      <w:tblPr>
        <w:tblW w:w="9064" w:type="dxa"/>
        <w:tblLook w:val="04A0" w:firstRow="1" w:lastRow="0" w:firstColumn="1" w:lastColumn="0" w:noHBand="0" w:noVBand="1"/>
      </w:tblPr>
      <w:tblGrid>
        <w:gridCol w:w="680"/>
        <w:gridCol w:w="446"/>
        <w:gridCol w:w="1399"/>
        <w:gridCol w:w="444"/>
        <w:gridCol w:w="425"/>
        <w:gridCol w:w="2977"/>
        <w:gridCol w:w="2693"/>
      </w:tblGrid>
      <w:tr w:rsidR="004067B3" w:rsidRPr="004067B3" w:rsidTr="004067B3">
        <w:trPr>
          <w:trHeight w:val="559"/>
        </w:trPr>
        <w:tc>
          <w:tcPr>
            <w:tcW w:w="680" w:type="dxa"/>
            <w:tcBorders>
              <w:top w:val="single" w:sz="4" w:space="0" w:color="auto"/>
              <w:left w:val="single" w:sz="4" w:space="0" w:color="auto"/>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color w:val="000000"/>
                <w:kern w:val="0"/>
                <w:sz w:val="18"/>
                <w:szCs w:val="18"/>
              </w:rPr>
            </w:pPr>
            <w:r w:rsidRPr="004067B3">
              <w:rPr>
                <w:rFonts w:ascii="宋体" w:eastAsia="宋体" w:hAnsi="宋体" w:cs="宋体" w:hint="eastAsia"/>
                <w:color w:val="000000"/>
                <w:kern w:val="0"/>
                <w:sz w:val="18"/>
                <w:szCs w:val="18"/>
              </w:rPr>
              <w:lastRenderedPageBreak/>
              <w:t>序号</w:t>
            </w:r>
          </w:p>
        </w:tc>
        <w:tc>
          <w:tcPr>
            <w:tcW w:w="446" w:type="dxa"/>
            <w:tcBorders>
              <w:top w:val="single" w:sz="4" w:space="0" w:color="auto"/>
              <w:left w:val="nil"/>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名称</w:t>
            </w:r>
          </w:p>
        </w:tc>
        <w:tc>
          <w:tcPr>
            <w:tcW w:w="1399" w:type="dxa"/>
            <w:tcBorders>
              <w:top w:val="single" w:sz="4" w:space="0" w:color="auto"/>
              <w:left w:val="nil"/>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规格</w:t>
            </w:r>
          </w:p>
        </w:tc>
        <w:tc>
          <w:tcPr>
            <w:tcW w:w="444" w:type="dxa"/>
            <w:tcBorders>
              <w:top w:val="single" w:sz="4" w:space="0" w:color="auto"/>
              <w:left w:val="nil"/>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数量</w:t>
            </w:r>
          </w:p>
        </w:tc>
        <w:tc>
          <w:tcPr>
            <w:tcW w:w="425" w:type="dxa"/>
            <w:tcBorders>
              <w:top w:val="single" w:sz="4" w:space="0" w:color="auto"/>
              <w:left w:val="nil"/>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单位</w:t>
            </w:r>
          </w:p>
        </w:tc>
        <w:tc>
          <w:tcPr>
            <w:tcW w:w="2977" w:type="dxa"/>
            <w:tcBorders>
              <w:top w:val="single" w:sz="4" w:space="0" w:color="auto"/>
              <w:left w:val="nil"/>
              <w:bottom w:val="nil"/>
              <w:right w:val="single" w:sz="4" w:space="0" w:color="auto"/>
            </w:tcBorders>
            <w:shd w:val="clear" w:color="000000" w:fill="00B0F0"/>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备注</w:t>
            </w:r>
          </w:p>
        </w:tc>
        <w:tc>
          <w:tcPr>
            <w:tcW w:w="2693" w:type="dxa"/>
            <w:tcBorders>
              <w:top w:val="single" w:sz="4" w:space="0" w:color="auto"/>
              <w:left w:val="nil"/>
              <w:bottom w:val="nil"/>
              <w:right w:val="single" w:sz="4" w:space="0" w:color="auto"/>
            </w:tcBorders>
            <w:shd w:val="clear" w:color="000000" w:fill="00B0F0"/>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参考图片</w:t>
            </w:r>
          </w:p>
        </w:tc>
      </w:tr>
      <w:tr w:rsidR="004067B3" w:rsidRPr="004067B3" w:rsidTr="004067B3">
        <w:trPr>
          <w:trHeight w:val="819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w:t>
            </w:r>
          </w:p>
        </w:tc>
        <w:tc>
          <w:tcPr>
            <w:tcW w:w="446" w:type="dxa"/>
            <w:tcBorders>
              <w:top w:val="single" w:sz="4" w:space="0" w:color="auto"/>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通风柜</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1450*850*2350</w:t>
            </w:r>
          </w:p>
        </w:tc>
        <w:tc>
          <w:tcPr>
            <w:tcW w:w="444" w:type="dxa"/>
            <w:tcBorders>
              <w:top w:val="single" w:sz="4" w:space="0" w:color="auto"/>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套</w:t>
            </w:r>
          </w:p>
        </w:tc>
        <w:tc>
          <w:tcPr>
            <w:tcW w:w="2977" w:type="dxa"/>
            <w:tcBorders>
              <w:top w:val="single" w:sz="4" w:space="0" w:color="auto"/>
              <w:left w:val="nil"/>
              <w:bottom w:val="nil"/>
              <w:right w:val="single" w:sz="4" w:space="0" w:color="auto"/>
            </w:tcBorders>
            <w:shd w:val="clear" w:color="000000" w:fill="FFFFFF"/>
            <w:vAlign w:val="center"/>
            <w:hideMark/>
          </w:tcPr>
          <w:p w:rsidR="004067B3" w:rsidRPr="004067B3" w:rsidRDefault="004067B3" w:rsidP="004067B3">
            <w:pPr>
              <w:widowControl/>
              <w:jc w:val="left"/>
              <w:rPr>
                <w:rFonts w:ascii="宋体" w:eastAsia="宋体" w:hAnsi="宋体" w:cs="宋体" w:hint="eastAsia"/>
                <w:kern w:val="0"/>
                <w:sz w:val="18"/>
                <w:szCs w:val="18"/>
              </w:rPr>
            </w:pPr>
            <w:r w:rsidRPr="004067B3">
              <w:rPr>
                <w:rFonts w:ascii="宋体" w:eastAsia="宋体" w:hAnsi="宋体" w:cs="宋体" w:hint="eastAsia"/>
                <w:kern w:val="0"/>
                <w:sz w:val="18"/>
                <w:szCs w:val="18"/>
              </w:rPr>
              <w:t>1、整体采用1.0mm厚优质SS304材质制作。后背采用1.2mm厚优质SS304材质，板材表面经过拉丝美化处理，满足现代化实验室生物安全及美观需求</w:t>
            </w:r>
            <w:r w:rsidRPr="004067B3">
              <w:rPr>
                <w:rFonts w:ascii="宋体" w:eastAsia="宋体" w:hAnsi="宋体" w:cs="宋体" w:hint="eastAsia"/>
                <w:kern w:val="0"/>
                <w:sz w:val="18"/>
                <w:szCs w:val="18"/>
              </w:rPr>
              <w:br/>
              <w:t>2、台面：采用20+5mm厚一体成型碟形陶瓷台面，边缘呈圆弧形，结构坚固致密，</w:t>
            </w:r>
            <w:proofErr w:type="gramStart"/>
            <w:r w:rsidRPr="004067B3">
              <w:rPr>
                <w:rFonts w:ascii="宋体" w:eastAsia="宋体" w:hAnsi="宋体" w:cs="宋体" w:hint="eastAsia"/>
                <w:kern w:val="0"/>
                <w:sz w:val="18"/>
                <w:szCs w:val="18"/>
              </w:rPr>
              <w:t>能抗强抗冲击</w:t>
            </w:r>
            <w:proofErr w:type="gramEnd"/>
            <w:r w:rsidRPr="004067B3">
              <w:rPr>
                <w:rFonts w:ascii="宋体" w:eastAsia="宋体" w:hAnsi="宋体" w:cs="宋体" w:hint="eastAsia"/>
                <w:kern w:val="0"/>
                <w:sz w:val="18"/>
                <w:szCs w:val="18"/>
              </w:rPr>
              <w:t>，耐强酸强碱耐高温。</w:t>
            </w:r>
            <w:r w:rsidRPr="004067B3">
              <w:rPr>
                <w:rFonts w:ascii="宋体" w:eastAsia="宋体" w:hAnsi="宋体" w:cs="宋体" w:hint="eastAsia"/>
                <w:kern w:val="0"/>
                <w:sz w:val="18"/>
                <w:szCs w:val="18"/>
              </w:rPr>
              <w:br/>
              <w:t>3、移门:使用厚度&gt;5mm的钢化玻璃；滑轨为专门定制型材，移门能够轻松上下移动；移门的关闭有橡胶缓冲装置；移门拉手和</w:t>
            </w:r>
            <w:proofErr w:type="gramStart"/>
            <w:r w:rsidRPr="004067B3">
              <w:rPr>
                <w:rFonts w:ascii="宋体" w:eastAsia="宋体" w:hAnsi="宋体" w:cs="宋体" w:hint="eastAsia"/>
                <w:kern w:val="0"/>
                <w:sz w:val="18"/>
                <w:szCs w:val="18"/>
              </w:rPr>
              <w:t>移门</w:t>
            </w:r>
            <w:proofErr w:type="gramEnd"/>
            <w:r w:rsidRPr="004067B3">
              <w:rPr>
                <w:rFonts w:ascii="宋体" w:eastAsia="宋体" w:hAnsi="宋体" w:cs="宋体" w:hint="eastAsia"/>
                <w:kern w:val="0"/>
                <w:sz w:val="18"/>
                <w:szCs w:val="18"/>
              </w:rPr>
              <w:t>同宽，为减小进风阻力，使气流顺畅进入通风柜内，移门拉手使用专用型材、优质304不锈钢材料制成；移门采用实验室家具行业国际最先进技术:同步皮带为我公司特殊定制聚四氟乙烯管与钢丝绳结合，具有较强的耐腐蚀、耐高温、抗拉力、无需维护、性能稳定，与皮带同步的滑轮为我公司单独设计加工并具有专利权，杜绝了通风柜的最大隐患；同时避免了金属材料产品长期使用在实验室恶劣环境中造成的腐蚀，确保产品安全性、耐久性。</w:t>
            </w:r>
            <w:r w:rsidRPr="004067B3">
              <w:rPr>
                <w:rFonts w:ascii="宋体" w:eastAsia="宋体" w:hAnsi="宋体" w:cs="宋体" w:hint="eastAsia"/>
                <w:kern w:val="0"/>
                <w:sz w:val="18"/>
                <w:szCs w:val="18"/>
              </w:rPr>
              <w:br/>
              <w:t>4、多功能安装板:通风</w:t>
            </w:r>
            <w:proofErr w:type="gramStart"/>
            <w:r w:rsidRPr="004067B3">
              <w:rPr>
                <w:rFonts w:ascii="宋体" w:eastAsia="宋体" w:hAnsi="宋体" w:cs="宋体" w:hint="eastAsia"/>
                <w:kern w:val="0"/>
                <w:sz w:val="18"/>
                <w:szCs w:val="18"/>
              </w:rPr>
              <w:t>柜具有</w:t>
            </w:r>
            <w:proofErr w:type="gramEnd"/>
            <w:r w:rsidRPr="004067B3">
              <w:rPr>
                <w:rFonts w:ascii="宋体" w:eastAsia="宋体" w:hAnsi="宋体" w:cs="宋体" w:hint="eastAsia"/>
                <w:kern w:val="0"/>
                <w:sz w:val="18"/>
                <w:szCs w:val="18"/>
              </w:rPr>
              <w:t>可拓展功能区，位于通风柜正面两侧，多功能安装板，坚固且方便摘取，可随时根据客户需求添加水、电、气等功能拓展；</w:t>
            </w:r>
            <w:r w:rsidRPr="004067B3">
              <w:rPr>
                <w:rFonts w:ascii="宋体" w:eastAsia="宋体" w:hAnsi="宋体" w:cs="宋体" w:hint="eastAsia"/>
                <w:kern w:val="0"/>
                <w:sz w:val="18"/>
                <w:szCs w:val="18"/>
              </w:rPr>
              <w:br/>
              <w:t>5、通风柜照明:两个灯管，照度≥500Lux。</w:t>
            </w:r>
            <w:r w:rsidRPr="004067B3">
              <w:rPr>
                <w:rFonts w:ascii="宋体" w:eastAsia="宋体" w:hAnsi="宋体" w:cs="宋体" w:hint="eastAsia"/>
                <w:kern w:val="0"/>
                <w:sz w:val="18"/>
                <w:szCs w:val="18"/>
              </w:rPr>
              <w:br/>
              <w:t>6、通风柜液晶显示控制，可控制工作站的风量、风速和风压，并支持实时显示运行状态。</w:t>
            </w:r>
            <w:r w:rsidRPr="004067B3">
              <w:rPr>
                <w:rFonts w:ascii="宋体" w:eastAsia="宋体" w:hAnsi="宋体" w:cs="宋体" w:hint="eastAsia"/>
                <w:kern w:val="0"/>
                <w:sz w:val="18"/>
                <w:szCs w:val="18"/>
              </w:rPr>
              <w:br/>
              <w:t>7、排气方式:为防止污染气体向实检室内挥发扩散，及时安全排除设备内部废气提供优质具体解决方案，且南非实现智能操控管理，风量可调，设备通风系统支持与实验</w:t>
            </w:r>
            <w:r w:rsidRPr="004067B3">
              <w:rPr>
                <w:rFonts w:ascii="宋体" w:eastAsia="宋体" w:hAnsi="宋体" w:cs="宋体" w:hint="eastAsia"/>
                <w:kern w:val="0"/>
                <w:sz w:val="18"/>
                <w:szCs w:val="18"/>
              </w:rPr>
              <w:lastRenderedPageBreak/>
              <w:t>室整体通风防护及智能控制无缝对接满足实验室生物安全需要。</w:t>
            </w:r>
            <w:r w:rsidRPr="004067B3">
              <w:rPr>
                <w:rFonts w:ascii="宋体" w:eastAsia="宋体" w:hAnsi="宋体" w:cs="宋体" w:hint="eastAsia"/>
                <w:kern w:val="0"/>
                <w:sz w:val="18"/>
                <w:szCs w:val="18"/>
              </w:rPr>
              <w:br/>
              <w:t>8、配置独立漏电保护开关，并有保护罩。</w:t>
            </w:r>
            <w:r w:rsidRPr="004067B3">
              <w:rPr>
                <w:rFonts w:ascii="宋体" w:eastAsia="宋体" w:hAnsi="宋体" w:cs="宋体" w:hint="eastAsia"/>
                <w:kern w:val="0"/>
                <w:sz w:val="18"/>
                <w:szCs w:val="18"/>
              </w:rPr>
              <w:br/>
              <w:t>9、配置4个220V，10A防溅插座。</w:t>
            </w:r>
            <w:r w:rsidRPr="004067B3">
              <w:rPr>
                <w:rFonts w:ascii="宋体" w:eastAsia="宋体" w:hAnsi="宋体" w:cs="宋体" w:hint="eastAsia"/>
                <w:kern w:val="0"/>
                <w:sz w:val="18"/>
                <w:szCs w:val="18"/>
              </w:rPr>
              <w:br/>
              <w:t>10、通风柜顶部排风口配置止逆阀，在多台通风柜串联时可有效防止通风柜之间串风。</w:t>
            </w:r>
            <w:r w:rsidRPr="004067B3">
              <w:rPr>
                <w:rFonts w:ascii="宋体" w:eastAsia="宋体" w:hAnsi="宋体" w:cs="宋体" w:hint="eastAsia"/>
                <w:kern w:val="0"/>
                <w:sz w:val="18"/>
                <w:szCs w:val="18"/>
              </w:rPr>
              <w:br/>
              <w:t>11、通风柜顶部配置电动风量调节碟阀，可通过控制面板调节</w:t>
            </w:r>
            <w:proofErr w:type="gramStart"/>
            <w:r w:rsidRPr="004067B3">
              <w:rPr>
                <w:rFonts w:ascii="宋体" w:eastAsia="宋体" w:hAnsi="宋体" w:cs="宋体" w:hint="eastAsia"/>
                <w:kern w:val="0"/>
                <w:sz w:val="18"/>
                <w:szCs w:val="18"/>
              </w:rPr>
              <w:t>碟阀角度</w:t>
            </w:r>
            <w:proofErr w:type="gramEnd"/>
            <w:r w:rsidRPr="004067B3">
              <w:rPr>
                <w:rFonts w:ascii="宋体" w:eastAsia="宋体" w:hAnsi="宋体" w:cs="宋体" w:hint="eastAsia"/>
                <w:kern w:val="0"/>
                <w:sz w:val="18"/>
                <w:szCs w:val="18"/>
              </w:rPr>
              <w:t>达到控制风量风速的目的。</w:t>
            </w:r>
            <w:r w:rsidRPr="004067B3">
              <w:rPr>
                <w:rFonts w:ascii="宋体" w:eastAsia="宋体" w:hAnsi="宋体" w:cs="宋体" w:hint="eastAsia"/>
                <w:kern w:val="0"/>
                <w:sz w:val="18"/>
                <w:szCs w:val="18"/>
              </w:rPr>
              <w:br/>
              <w:t>12、配置增压型管道风机，可有效排出柜内废气。</w:t>
            </w:r>
            <w:r w:rsidRPr="004067B3">
              <w:rPr>
                <w:rFonts w:ascii="宋体" w:eastAsia="宋体" w:hAnsi="宋体" w:cs="宋体" w:hint="eastAsia"/>
                <w:kern w:val="0"/>
                <w:sz w:val="18"/>
                <w:szCs w:val="18"/>
              </w:rPr>
              <w:br/>
              <w:t>13、其它配件:配置独立漏电保护装置并有保护罩。含管道风机及通风柜与主管道对接，含运费及安装。</w:t>
            </w:r>
          </w:p>
        </w:tc>
        <w:tc>
          <w:tcPr>
            <w:tcW w:w="2693" w:type="dxa"/>
            <w:tcBorders>
              <w:top w:val="single" w:sz="4" w:space="0" w:color="auto"/>
              <w:left w:val="nil"/>
              <w:bottom w:val="nil"/>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noProof/>
                <w:color w:val="000000"/>
                <w:kern w:val="0"/>
                <w:sz w:val="18"/>
                <w:szCs w:val="18"/>
              </w:rPr>
              <w:lastRenderedPageBreak/>
              <w:drawing>
                <wp:anchor distT="0" distB="0" distL="114300" distR="114300" simplePos="0" relativeHeight="251658240" behindDoc="0" locked="0" layoutInCell="1" allowOverlap="1">
                  <wp:simplePos x="0" y="0"/>
                  <wp:positionH relativeFrom="column">
                    <wp:posOffset>74930</wp:posOffset>
                  </wp:positionH>
                  <wp:positionV relativeFrom="paragraph">
                    <wp:posOffset>-1270000</wp:posOffset>
                  </wp:positionV>
                  <wp:extent cx="1196340" cy="2257425"/>
                  <wp:effectExtent l="0" t="0" r="3810" b="9525"/>
                  <wp:wrapNone/>
                  <wp:docPr id="6" name="图片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00000000-0008-0000-0000-000008000000}"/>
                              </a:ext>
                            </a:extLst>
                          </pic:cNvPr>
                          <pic:cNvPicPr>
                            <a:picLocks noChangeAspect="1"/>
                          </pic:cNvPicPr>
                        </pic:nvPicPr>
                        <pic:blipFill>
                          <a:blip r:embed="rId8"/>
                          <a:stretch>
                            <a:fillRect/>
                          </a:stretch>
                        </pic:blipFill>
                        <pic:spPr>
                          <a:xfrm>
                            <a:off x="0" y="0"/>
                            <a:ext cx="1196340" cy="225742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r>
      <w:tr w:rsidR="004067B3" w:rsidRPr="004067B3" w:rsidTr="004067B3">
        <w:trPr>
          <w:trHeight w:val="817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lastRenderedPageBreak/>
              <w:t>2</w:t>
            </w:r>
          </w:p>
        </w:tc>
        <w:tc>
          <w:tcPr>
            <w:tcW w:w="446"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通风柜</w:t>
            </w:r>
          </w:p>
        </w:tc>
        <w:tc>
          <w:tcPr>
            <w:tcW w:w="1399"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1450*850*2350</w:t>
            </w:r>
          </w:p>
        </w:tc>
        <w:tc>
          <w:tcPr>
            <w:tcW w:w="444"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w:t>
            </w:r>
          </w:p>
        </w:tc>
        <w:tc>
          <w:tcPr>
            <w:tcW w:w="425"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套</w:t>
            </w:r>
          </w:p>
        </w:tc>
        <w:tc>
          <w:tcPr>
            <w:tcW w:w="2977" w:type="dxa"/>
            <w:tcBorders>
              <w:top w:val="single" w:sz="4" w:space="0" w:color="auto"/>
              <w:left w:val="nil"/>
              <w:bottom w:val="nil"/>
              <w:right w:val="single" w:sz="4" w:space="0" w:color="auto"/>
            </w:tcBorders>
            <w:shd w:val="clear" w:color="000000" w:fill="FFFFFF"/>
            <w:vAlign w:val="center"/>
            <w:hideMark/>
          </w:tcPr>
          <w:p w:rsidR="004067B3" w:rsidRPr="004067B3" w:rsidRDefault="004067B3" w:rsidP="004067B3">
            <w:pPr>
              <w:widowControl/>
              <w:jc w:val="left"/>
              <w:rPr>
                <w:rFonts w:ascii="宋体" w:eastAsia="宋体" w:hAnsi="宋体" w:cs="宋体" w:hint="eastAsia"/>
                <w:kern w:val="0"/>
                <w:sz w:val="18"/>
                <w:szCs w:val="18"/>
              </w:rPr>
            </w:pPr>
            <w:r w:rsidRPr="004067B3">
              <w:rPr>
                <w:rFonts w:ascii="宋体" w:eastAsia="宋体" w:hAnsi="宋体" w:cs="宋体" w:hint="eastAsia"/>
                <w:kern w:val="0"/>
                <w:sz w:val="18"/>
                <w:szCs w:val="18"/>
              </w:rPr>
              <w:t>1、整体采用1.0mm厚优质SS304材质制作。后背采用1.2mm厚优质SS304材质，板材表面经过拉丝美化处理，满足现代化实验室生物安全及美观需求</w:t>
            </w:r>
            <w:r w:rsidRPr="004067B3">
              <w:rPr>
                <w:rFonts w:ascii="宋体" w:eastAsia="宋体" w:hAnsi="宋体" w:cs="宋体" w:hint="eastAsia"/>
                <w:kern w:val="0"/>
                <w:sz w:val="18"/>
                <w:szCs w:val="18"/>
              </w:rPr>
              <w:br/>
              <w:t>2、台面：采用20+5mm厚一体成型碟形陶瓷台面，边缘呈圆弧形，结构坚固致密，</w:t>
            </w:r>
            <w:proofErr w:type="gramStart"/>
            <w:r w:rsidRPr="004067B3">
              <w:rPr>
                <w:rFonts w:ascii="宋体" w:eastAsia="宋体" w:hAnsi="宋体" w:cs="宋体" w:hint="eastAsia"/>
                <w:kern w:val="0"/>
                <w:sz w:val="18"/>
                <w:szCs w:val="18"/>
              </w:rPr>
              <w:t>能抗强抗冲击</w:t>
            </w:r>
            <w:proofErr w:type="gramEnd"/>
            <w:r w:rsidRPr="004067B3">
              <w:rPr>
                <w:rFonts w:ascii="宋体" w:eastAsia="宋体" w:hAnsi="宋体" w:cs="宋体" w:hint="eastAsia"/>
                <w:kern w:val="0"/>
                <w:sz w:val="18"/>
                <w:szCs w:val="18"/>
              </w:rPr>
              <w:t>，耐强酸强碱耐高温。</w:t>
            </w:r>
            <w:r w:rsidRPr="004067B3">
              <w:rPr>
                <w:rFonts w:ascii="宋体" w:eastAsia="宋体" w:hAnsi="宋体" w:cs="宋体" w:hint="eastAsia"/>
                <w:kern w:val="0"/>
                <w:sz w:val="18"/>
                <w:szCs w:val="18"/>
              </w:rPr>
              <w:br/>
              <w:t>3、移门:使用厚度&gt;5mm的钢化玻璃；滑轨为专门定制型材，移门能够轻松上下移动；移门的关闭有橡胶缓冲装置；移门拉手和</w:t>
            </w:r>
            <w:proofErr w:type="gramStart"/>
            <w:r w:rsidRPr="004067B3">
              <w:rPr>
                <w:rFonts w:ascii="宋体" w:eastAsia="宋体" w:hAnsi="宋体" w:cs="宋体" w:hint="eastAsia"/>
                <w:kern w:val="0"/>
                <w:sz w:val="18"/>
                <w:szCs w:val="18"/>
              </w:rPr>
              <w:t>移门</w:t>
            </w:r>
            <w:proofErr w:type="gramEnd"/>
            <w:r w:rsidRPr="004067B3">
              <w:rPr>
                <w:rFonts w:ascii="宋体" w:eastAsia="宋体" w:hAnsi="宋体" w:cs="宋体" w:hint="eastAsia"/>
                <w:kern w:val="0"/>
                <w:sz w:val="18"/>
                <w:szCs w:val="18"/>
              </w:rPr>
              <w:t>同宽，为减小进风阻力，使气流顺畅进入通风柜内，移门拉手使用专用型材、优质304不锈钢材料制成；移门采用实验室家具行业国际最先进技术:同步皮带为我公司特殊定制聚四氟乙烯管与钢丝绳结合，具有较强的耐腐蚀、耐高温、抗拉力、无需维护、性能稳定，与皮带同步的滑轮为我公司单独设计加工并具有专利权，杜绝了通风柜的最大隐患；同时避免了金属材料产品长期使用在实验室恶劣环境中造成的腐蚀，确保产品安全性、耐久性。</w:t>
            </w:r>
            <w:r w:rsidRPr="004067B3">
              <w:rPr>
                <w:rFonts w:ascii="宋体" w:eastAsia="宋体" w:hAnsi="宋体" w:cs="宋体" w:hint="eastAsia"/>
                <w:kern w:val="0"/>
                <w:sz w:val="18"/>
                <w:szCs w:val="18"/>
              </w:rPr>
              <w:br/>
              <w:t>4、多功能安装板:通风</w:t>
            </w:r>
            <w:proofErr w:type="gramStart"/>
            <w:r w:rsidRPr="004067B3">
              <w:rPr>
                <w:rFonts w:ascii="宋体" w:eastAsia="宋体" w:hAnsi="宋体" w:cs="宋体" w:hint="eastAsia"/>
                <w:kern w:val="0"/>
                <w:sz w:val="18"/>
                <w:szCs w:val="18"/>
              </w:rPr>
              <w:t>柜具有</w:t>
            </w:r>
            <w:proofErr w:type="gramEnd"/>
            <w:r w:rsidRPr="004067B3">
              <w:rPr>
                <w:rFonts w:ascii="宋体" w:eastAsia="宋体" w:hAnsi="宋体" w:cs="宋体" w:hint="eastAsia"/>
                <w:kern w:val="0"/>
                <w:sz w:val="18"/>
                <w:szCs w:val="18"/>
              </w:rPr>
              <w:t>可拓展功能区，位于通风柜正面两侧，多功能安装板，坚固且方便摘取，可随时根据客户需求添加水、电、气等功能拓展；</w:t>
            </w:r>
            <w:r w:rsidRPr="004067B3">
              <w:rPr>
                <w:rFonts w:ascii="宋体" w:eastAsia="宋体" w:hAnsi="宋体" w:cs="宋体" w:hint="eastAsia"/>
                <w:kern w:val="0"/>
                <w:sz w:val="18"/>
                <w:szCs w:val="18"/>
              </w:rPr>
              <w:br/>
              <w:t>5、通风柜照明:两个灯管，照度≥500Lux。</w:t>
            </w:r>
            <w:r w:rsidRPr="004067B3">
              <w:rPr>
                <w:rFonts w:ascii="宋体" w:eastAsia="宋体" w:hAnsi="宋体" w:cs="宋体" w:hint="eastAsia"/>
                <w:kern w:val="0"/>
                <w:sz w:val="18"/>
                <w:szCs w:val="18"/>
              </w:rPr>
              <w:br/>
              <w:t>6、通风柜液晶显示控制，可控制工作站的风量、风速和风压，并支持实时显示运行状态。</w:t>
            </w:r>
            <w:r w:rsidRPr="004067B3">
              <w:rPr>
                <w:rFonts w:ascii="宋体" w:eastAsia="宋体" w:hAnsi="宋体" w:cs="宋体" w:hint="eastAsia"/>
                <w:kern w:val="0"/>
                <w:sz w:val="18"/>
                <w:szCs w:val="18"/>
              </w:rPr>
              <w:br/>
              <w:t>7、排气方式:为防止污染气体向实检室内挥发扩散，及时安全排除设备内部废气提供优质具体解决方案，且南非实现智能操控管理，风量可调，设备通风系统支持与实验室整体通风防护及智能控制无缝对接满足实验室生物安全需要。</w:t>
            </w:r>
            <w:r w:rsidRPr="004067B3">
              <w:rPr>
                <w:rFonts w:ascii="宋体" w:eastAsia="宋体" w:hAnsi="宋体" w:cs="宋体" w:hint="eastAsia"/>
                <w:kern w:val="0"/>
                <w:sz w:val="18"/>
                <w:szCs w:val="18"/>
              </w:rPr>
              <w:br/>
            </w:r>
            <w:r w:rsidRPr="004067B3">
              <w:rPr>
                <w:rFonts w:ascii="宋体" w:eastAsia="宋体" w:hAnsi="宋体" w:cs="宋体" w:hint="eastAsia"/>
                <w:kern w:val="0"/>
                <w:sz w:val="18"/>
                <w:szCs w:val="18"/>
              </w:rPr>
              <w:lastRenderedPageBreak/>
              <w:t>8、配置独立漏电保护开关，并有保护罩。</w:t>
            </w:r>
            <w:r w:rsidRPr="004067B3">
              <w:rPr>
                <w:rFonts w:ascii="宋体" w:eastAsia="宋体" w:hAnsi="宋体" w:cs="宋体" w:hint="eastAsia"/>
                <w:kern w:val="0"/>
                <w:sz w:val="18"/>
                <w:szCs w:val="18"/>
              </w:rPr>
              <w:br/>
              <w:t>9、配置4个220V，10A防溅插座。</w:t>
            </w:r>
            <w:r w:rsidRPr="004067B3">
              <w:rPr>
                <w:rFonts w:ascii="宋体" w:eastAsia="宋体" w:hAnsi="宋体" w:cs="宋体" w:hint="eastAsia"/>
                <w:kern w:val="0"/>
                <w:sz w:val="18"/>
                <w:szCs w:val="18"/>
              </w:rPr>
              <w:br/>
              <w:t>10、通风柜顶部排风口配置止逆阀，在多台通风柜串联时可有效防止通风柜之间串风。</w:t>
            </w:r>
            <w:r w:rsidRPr="004067B3">
              <w:rPr>
                <w:rFonts w:ascii="宋体" w:eastAsia="宋体" w:hAnsi="宋体" w:cs="宋体" w:hint="eastAsia"/>
                <w:kern w:val="0"/>
                <w:sz w:val="18"/>
                <w:szCs w:val="18"/>
              </w:rPr>
              <w:br/>
              <w:t>11、通风柜顶部配置电动风量调节碟阀，可通过控制面板调节</w:t>
            </w:r>
            <w:proofErr w:type="gramStart"/>
            <w:r w:rsidRPr="004067B3">
              <w:rPr>
                <w:rFonts w:ascii="宋体" w:eastAsia="宋体" w:hAnsi="宋体" w:cs="宋体" w:hint="eastAsia"/>
                <w:kern w:val="0"/>
                <w:sz w:val="18"/>
                <w:szCs w:val="18"/>
              </w:rPr>
              <w:t>碟阀角度</w:t>
            </w:r>
            <w:proofErr w:type="gramEnd"/>
            <w:r w:rsidRPr="004067B3">
              <w:rPr>
                <w:rFonts w:ascii="宋体" w:eastAsia="宋体" w:hAnsi="宋体" w:cs="宋体" w:hint="eastAsia"/>
                <w:kern w:val="0"/>
                <w:sz w:val="18"/>
                <w:szCs w:val="18"/>
              </w:rPr>
              <w:t>达到控制风量风速的目的。</w:t>
            </w:r>
            <w:r w:rsidRPr="004067B3">
              <w:rPr>
                <w:rFonts w:ascii="宋体" w:eastAsia="宋体" w:hAnsi="宋体" w:cs="宋体" w:hint="eastAsia"/>
                <w:kern w:val="0"/>
                <w:sz w:val="18"/>
                <w:szCs w:val="18"/>
              </w:rPr>
              <w:br/>
              <w:t>12、配置增压型管道风机，可有效排出柜内废气。</w:t>
            </w:r>
            <w:r w:rsidRPr="004067B3">
              <w:rPr>
                <w:rFonts w:ascii="宋体" w:eastAsia="宋体" w:hAnsi="宋体" w:cs="宋体" w:hint="eastAsia"/>
                <w:kern w:val="0"/>
                <w:sz w:val="18"/>
                <w:szCs w:val="18"/>
              </w:rPr>
              <w:br/>
              <w:t>13、其它配件:配置独立漏电保护装置并有保护罩。</w:t>
            </w:r>
            <w:proofErr w:type="gramStart"/>
            <w:r w:rsidRPr="004067B3">
              <w:rPr>
                <w:rFonts w:ascii="宋体" w:eastAsia="宋体" w:hAnsi="宋体" w:cs="宋体" w:hint="eastAsia"/>
                <w:kern w:val="0"/>
                <w:sz w:val="18"/>
                <w:szCs w:val="18"/>
              </w:rPr>
              <w:t>含管</w:t>
            </w:r>
            <w:proofErr w:type="gramEnd"/>
            <w:r w:rsidRPr="004067B3">
              <w:rPr>
                <w:rFonts w:ascii="宋体" w:eastAsia="宋体" w:hAnsi="宋体" w:cs="宋体" w:hint="eastAsia"/>
                <w:kern w:val="0"/>
                <w:sz w:val="18"/>
                <w:szCs w:val="18"/>
              </w:rPr>
              <w:br/>
            </w:r>
            <w:r w:rsidRPr="004067B3">
              <w:rPr>
                <w:rFonts w:ascii="宋体" w:eastAsia="宋体" w:hAnsi="宋体" w:cs="宋体" w:hint="eastAsia"/>
                <w:b/>
                <w:bCs/>
                <w:color w:val="FF0000"/>
                <w:kern w:val="0"/>
                <w:sz w:val="18"/>
                <w:szCs w:val="18"/>
              </w:rPr>
              <w:t>含PP杯槽及单口龙头含管道风机、通风柜与主管道对接，含运费及安装。</w:t>
            </w:r>
            <w:r w:rsidRPr="004067B3">
              <w:rPr>
                <w:rFonts w:ascii="宋体" w:eastAsia="宋体" w:hAnsi="宋体" w:cs="宋体" w:hint="eastAsia"/>
                <w:b/>
                <w:bCs/>
                <w:color w:val="FF0000"/>
                <w:kern w:val="0"/>
                <w:sz w:val="18"/>
                <w:szCs w:val="18"/>
              </w:rPr>
              <w:br/>
              <w:t>PP杯槽</w:t>
            </w:r>
            <w:r w:rsidRPr="004067B3">
              <w:rPr>
                <w:rFonts w:ascii="宋体" w:eastAsia="宋体" w:hAnsi="宋体" w:cs="宋体" w:hint="eastAsia"/>
                <w:b/>
                <w:bCs/>
                <w:color w:val="FF0000"/>
                <w:kern w:val="0"/>
                <w:sz w:val="18"/>
                <w:szCs w:val="18"/>
              </w:rPr>
              <w:br/>
              <w:t>材料：高密度PP新料注塑成型</w:t>
            </w:r>
            <w:r w:rsidRPr="004067B3">
              <w:rPr>
                <w:rFonts w:ascii="宋体" w:eastAsia="宋体" w:hAnsi="宋体" w:cs="宋体" w:hint="eastAsia"/>
                <w:b/>
                <w:bCs/>
                <w:color w:val="FF0000"/>
                <w:kern w:val="0"/>
                <w:sz w:val="18"/>
                <w:szCs w:val="18"/>
              </w:rPr>
              <w:br/>
              <w:t>厚度：受力边厚度可达5mm，平整不变形</w:t>
            </w:r>
            <w:r w:rsidRPr="004067B3">
              <w:rPr>
                <w:rFonts w:ascii="宋体" w:eastAsia="宋体" w:hAnsi="宋体" w:cs="宋体" w:hint="eastAsia"/>
                <w:b/>
                <w:bCs/>
                <w:color w:val="FF0000"/>
                <w:kern w:val="0"/>
                <w:sz w:val="18"/>
                <w:szCs w:val="18"/>
              </w:rPr>
              <w:br/>
              <w:t>附件：高密度PP去水；含阻水盖﹑PP提笼</w:t>
            </w:r>
            <w:r w:rsidRPr="004067B3">
              <w:rPr>
                <w:rFonts w:ascii="宋体" w:eastAsia="宋体" w:hAnsi="宋体" w:cs="宋体" w:hint="eastAsia"/>
                <w:b/>
                <w:bCs/>
                <w:color w:val="FF0000"/>
                <w:kern w:val="0"/>
                <w:sz w:val="18"/>
                <w:szCs w:val="18"/>
              </w:rPr>
              <w:br/>
              <w:t>内径：220*100</w:t>
            </w:r>
            <w:r w:rsidRPr="004067B3">
              <w:rPr>
                <w:rFonts w:ascii="宋体" w:eastAsia="宋体" w:hAnsi="宋体" w:cs="宋体" w:hint="eastAsia"/>
                <w:b/>
                <w:bCs/>
                <w:color w:val="FF0000"/>
                <w:kern w:val="0"/>
                <w:sz w:val="18"/>
                <w:szCs w:val="18"/>
              </w:rPr>
              <w:br/>
              <w:t>单口龙头</w:t>
            </w:r>
            <w:r w:rsidRPr="004067B3">
              <w:rPr>
                <w:rFonts w:ascii="宋体" w:eastAsia="宋体" w:hAnsi="宋体" w:cs="宋体" w:hint="eastAsia"/>
                <w:b/>
                <w:bCs/>
                <w:color w:val="FF0000"/>
                <w:kern w:val="0"/>
                <w:sz w:val="18"/>
                <w:szCs w:val="18"/>
              </w:rPr>
              <w:br/>
              <w:t>阀体：采用H59-1铜棒热锻</w:t>
            </w:r>
            <w:proofErr w:type="gramStart"/>
            <w:r w:rsidRPr="004067B3">
              <w:rPr>
                <w:rFonts w:ascii="宋体" w:eastAsia="宋体" w:hAnsi="宋体" w:cs="宋体" w:hint="eastAsia"/>
                <w:b/>
                <w:bCs/>
                <w:color w:val="FF0000"/>
                <w:kern w:val="0"/>
                <w:sz w:val="18"/>
                <w:szCs w:val="18"/>
              </w:rPr>
              <w:t>压制造</w:t>
            </w:r>
            <w:proofErr w:type="gramEnd"/>
            <w:r w:rsidRPr="004067B3">
              <w:rPr>
                <w:rFonts w:ascii="宋体" w:eastAsia="宋体" w:hAnsi="宋体" w:cs="宋体" w:hint="eastAsia"/>
                <w:b/>
                <w:bCs/>
                <w:color w:val="FF0000"/>
                <w:kern w:val="0"/>
                <w:sz w:val="18"/>
                <w:szCs w:val="18"/>
              </w:rPr>
              <w:br/>
              <w:t>直管：采用ø22*1.2mm管径的H63铜管制造</w:t>
            </w:r>
            <w:r w:rsidRPr="004067B3">
              <w:rPr>
                <w:rFonts w:ascii="宋体" w:eastAsia="宋体" w:hAnsi="宋体" w:cs="宋体" w:hint="eastAsia"/>
                <w:b/>
                <w:bCs/>
                <w:color w:val="FF0000"/>
                <w:kern w:val="0"/>
                <w:sz w:val="18"/>
                <w:szCs w:val="18"/>
              </w:rPr>
              <w:br/>
              <w:t>出水嘴：采用H59-1铜棒热锻</w:t>
            </w:r>
            <w:proofErr w:type="gramStart"/>
            <w:r w:rsidRPr="004067B3">
              <w:rPr>
                <w:rFonts w:ascii="宋体" w:eastAsia="宋体" w:hAnsi="宋体" w:cs="宋体" w:hint="eastAsia"/>
                <w:b/>
                <w:bCs/>
                <w:color w:val="FF0000"/>
                <w:kern w:val="0"/>
                <w:sz w:val="18"/>
                <w:szCs w:val="18"/>
              </w:rPr>
              <w:t>压制造</w:t>
            </w:r>
            <w:proofErr w:type="gramEnd"/>
            <w:r w:rsidRPr="004067B3">
              <w:rPr>
                <w:rFonts w:ascii="宋体" w:eastAsia="宋体" w:hAnsi="宋体" w:cs="宋体" w:hint="eastAsia"/>
                <w:b/>
                <w:bCs/>
                <w:color w:val="FF0000"/>
                <w:kern w:val="0"/>
                <w:sz w:val="18"/>
                <w:szCs w:val="18"/>
              </w:rPr>
              <w:br/>
              <w:t>涂层：环氧树脂涂层,耐腐蚀﹑耐热,防紫外线辐射</w:t>
            </w:r>
            <w:r w:rsidRPr="004067B3">
              <w:rPr>
                <w:rFonts w:ascii="宋体" w:eastAsia="宋体" w:hAnsi="宋体" w:cs="宋体" w:hint="eastAsia"/>
                <w:b/>
                <w:bCs/>
                <w:color w:val="FF0000"/>
                <w:kern w:val="0"/>
                <w:sz w:val="18"/>
                <w:szCs w:val="18"/>
              </w:rPr>
              <w:br/>
              <w:t>开关阀门：陶瓷阀芯,90°旋转,使用寿命开关50万次</w:t>
            </w:r>
            <w:r w:rsidRPr="004067B3">
              <w:rPr>
                <w:rFonts w:ascii="宋体" w:eastAsia="宋体" w:hAnsi="宋体" w:cs="宋体" w:hint="eastAsia"/>
                <w:b/>
                <w:bCs/>
                <w:color w:val="FF0000"/>
                <w:kern w:val="0"/>
                <w:sz w:val="18"/>
                <w:szCs w:val="18"/>
              </w:rPr>
              <w:br/>
              <w:t>开关旋钮：高密度PP,人体工学设计,手感舒适</w:t>
            </w:r>
            <w:r w:rsidRPr="004067B3">
              <w:rPr>
                <w:rFonts w:ascii="宋体" w:eastAsia="宋体" w:hAnsi="宋体" w:cs="宋体" w:hint="eastAsia"/>
                <w:b/>
                <w:bCs/>
                <w:color w:val="FF0000"/>
                <w:kern w:val="0"/>
                <w:sz w:val="18"/>
                <w:szCs w:val="18"/>
              </w:rPr>
              <w:br/>
              <w:t>温度范围：1℃-95 ℃</w:t>
            </w:r>
            <w:r w:rsidRPr="004067B3">
              <w:rPr>
                <w:rFonts w:ascii="宋体" w:eastAsia="宋体" w:hAnsi="宋体" w:cs="宋体" w:hint="eastAsia"/>
                <w:b/>
                <w:bCs/>
                <w:color w:val="FF0000"/>
                <w:kern w:val="0"/>
                <w:sz w:val="18"/>
                <w:szCs w:val="18"/>
              </w:rPr>
              <w:br/>
              <w:t>推荐压力：1 bar-5 bar</w:t>
            </w:r>
            <w:r w:rsidRPr="004067B3">
              <w:rPr>
                <w:rFonts w:ascii="宋体" w:eastAsia="宋体" w:hAnsi="宋体" w:cs="宋体" w:hint="eastAsia"/>
                <w:b/>
                <w:bCs/>
                <w:color w:val="FF0000"/>
                <w:kern w:val="0"/>
                <w:sz w:val="18"/>
                <w:szCs w:val="18"/>
              </w:rPr>
              <w:br/>
              <w:t>承受压力：10 bar</w:t>
            </w:r>
            <w:r w:rsidRPr="004067B3">
              <w:rPr>
                <w:rFonts w:ascii="宋体" w:eastAsia="宋体" w:hAnsi="宋体" w:cs="宋体" w:hint="eastAsia"/>
                <w:b/>
                <w:bCs/>
                <w:color w:val="FF0000"/>
                <w:kern w:val="0"/>
                <w:sz w:val="18"/>
                <w:szCs w:val="18"/>
              </w:rPr>
              <w:br/>
              <w:t>进水接口：G1/2</w:t>
            </w:r>
          </w:p>
        </w:tc>
        <w:tc>
          <w:tcPr>
            <w:tcW w:w="2693" w:type="dxa"/>
            <w:tcBorders>
              <w:top w:val="single" w:sz="4" w:space="0" w:color="auto"/>
              <w:left w:val="nil"/>
              <w:bottom w:val="nil"/>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noProof/>
                <w:color w:val="000000"/>
                <w:kern w:val="0"/>
                <w:sz w:val="18"/>
                <w:szCs w:val="18"/>
              </w:rPr>
              <w:lastRenderedPageBreak/>
              <w:drawing>
                <wp:anchor distT="0" distB="0" distL="114300" distR="114300" simplePos="0" relativeHeight="251658240" behindDoc="0" locked="0" layoutInCell="1" allowOverlap="1">
                  <wp:simplePos x="0" y="0"/>
                  <wp:positionH relativeFrom="column">
                    <wp:posOffset>354330</wp:posOffset>
                  </wp:positionH>
                  <wp:positionV relativeFrom="paragraph">
                    <wp:posOffset>7422515</wp:posOffset>
                  </wp:positionV>
                  <wp:extent cx="838200" cy="1019175"/>
                  <wp:effectExtent l="0" t="0" r="0" b="9525"/>
                  <wp:wrapNone/>
                  <wp:docPr id="1" name="图片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000-000003000000}"/>
                              </a:ext>
                            </a:extLst>
                          </pic:cNvPr>
                          <pic:cNvPicPr>
                            <a:picLocks noChangeAspect="1"/>
                          </pic:cNvPicPr>
                        </pic:nvPicPr>
                        <pic:blipFill>
                          <a:blip r:embed="rId9"/>
                          <a:stretch>
                            <a:fillRect/>
                          </a:stretch>
                        </pic:blipFill>
                        <pic:spPr>
                          <a:xfrm>
                            <a:off x="0" y="0"/>
                            <a:ext cx="838200" cy="101917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4067B3">
              <w:rPr>
                <w:rFonts w:ascii="宋体" w:eastAsia="宋体" w:hAnsi="宋体" w:cs="宋体" w:hint="eastAsia"/>
                <w:noProof/>
                <w:color w:val="000000"/>
                <w:kern w:val="0"/>
                <w:sz w:val="18"/>
                <w:szCs w:val="18"/>
              </w:rPr>
              <w:drawing>
                <wp:anchor distT="0" distB="0" distL="114300" distR="114300" simplePos="0" relativeHeight="251658240" behindDoc="0" locked="0" layoutInCell="1" allowOverlap="1">
                  <wp:simplePos x="0" y="0"/>
                  <wp:positionH relativeFrom="column">
                    <wp:posOffset>153035</wp:posOffset>
                  </wp:positionH>
                  <wp:positionV relativeFrom="paragraph">
                    <wp:posOffset>9214485</wp:posOffset>
                  </wp:positionV>
                  <wp:extent cx="1465580" cy="2235200"/>
                  <wp:effectExtent l="0" t="0" r="1270" b="0"/>
                  <wp:wrapNone/>
                  <wp:docPr id="7" name="图片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00000000-0008-0000-0000-000007000000}"/>
                              </a:ext>
                            </a:extLst>
                          </pic:cNvPr>
                          <pic:cNvPicPr>
                            <a:picLocks noChangeAspect="1"/>
                          </pic:cNvPicPr>
                        </pic:nvPicPr>
                        <pic:blipFill>
                          <a:blip r:embed="rId10"/>
                          <a:stretch>
                            <a:fillRect/>
                          </a:stretch>
                        </pic:blipFill>
                        <pic:spPr>
                          <a:xfrm>
                            <a:off x="0" y="0"/>
                            <a:ext cx="1465580" cy="223520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4067B3">
              <w:rPr>
                <w:rFonts w:ascii="宋体" w:eastAsia="宋体" w:hAnsi="宋体" w:cs="宋体" w:hint="eastAsia"/>
                <w:noProof/>
                <w:color w:val="000000"/>
                <w:kern w:val="0"/>
                <w:sz w:val="18"/>
                <w:szCs w:val="18"/>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4889500</wp:posOffset>
                  </wp:positionV>
                  <wp:extent cx="1057275" cy="781050"/>
                  <wp:effectExtent l="0" t="0" r="9525" b="0"/>
                  <wp:wrapNone/>
                  <wp:docPr id="2" name="图片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00000000-0008-0000-0000-000004000000}"/>
                              </a:ext>
                            </a:extLst>
                          </pic:cNvPr>
                          <pic:cNvPicPr>
                            <a:picLocks noChangeAspect="1"/>
                          </pic:cNvPicPr>
                        </pic:nvPicPr>
                        <pic:blipFill>
                          <a:blip r:embed="rId11"/>
                          <a:stretch>
                            <a:fillRect/>
                          </a:stretch>
                        </pic:blipFill>
                        <pic:spPr>
                          <a:xfrm>
                            <a:off x="0" y="0"/>
                            <a:ext cx="1057275" cy="781050"/>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r>
      <w:tr w:rsidR="004067B3" w:rsidRPr="004067B3" w:rsidTr="004067B3">
        <w:trPr>
          <w:trHeight w:val="26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lastRenderedPageBreak/>
              <w:t>3</w:t>
            </w:r>
          </w:p>
        </w:tc>
        <w:tc>
          <w:tcPr>
            <w:tcW w:w="446"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万向抽气罩</w:t>
            </w:r>
          </w:p>
        </w:tc>
        <w:tc>
          <w:tcPr>
            <w:tcW w:w="1399"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 xml:space="preserve">　</w:t>
            </w:r>
          </w:p>
        </w:tc>
        <w:tc>
          <w:tcPr>
            <w:tcW w:w="444"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10</w:t>
            </w:r>
          </w:p>
        </w:tc>
        <w:tc>
          <w:tcPr>
            <w:tcW w:w="425" w:type="dxa"/>
            <w:tcBorders>
              <w:top w:val="nil"/>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color w:val="000000"/>
                <w:kern w:val="0"/>
                <w:sz w:val="18"/>
                <w:szCs w:val="18"/>
              </w:rPr>
              <w:t>套</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4067B3" w:rsidRPr="004067B3" w:rsidRDefault="004067B3" w:rsidP="004067B3">
            <w:pPr>
              <w:widowControl/>
              <w:jc w:val="left"/>
              <w:rPr>
                <w:rFonts w:ascii="宋体" w:eastAsia="宋体" w:hAnsi="宋体" w:cs="宋体" w:hint="eastAsia"/>
                <w:b/>
                <w:bCs/>
                <w:kern w:val="0"/>
                <w:sz w:val="18"/>
                <w:szCs w:val="18"/>
              </w:rPr>
            </w:pPr>
            <w:r w:rsidRPr="004067B3">
              <w:rPr>
                <w:rFonts w:ascii="宋体" w:eastAsia="宋体" w:hAnsi="宋体" w:cs="宋体" w:hint="eastAsia"/>
                <w:b/>
                <w:bCs/>
                <w:kern w:val="0"/>
                <w:sz w:val="18"/>
                <w:szCs w:val="18"/>
              </w:rPr>
              <w:t>万向抽气罩</w:t>
            </w:r>
            <w:r w:rsidRPr="004067B3">
              <w:rPr>
                <w:rFonts w:ascii="宋体" w:eastAsia="宋体" w:hAnsi="宋体" w:cs="宋体" w:hint="eastAsia"/>
                <w:kern w:val="0"/>
                <w:sz w:val="18"/>
                <w:szCs w:val="18"/>
              </w:rPr>
              <w:br/>
              <w:t>1、关节：高密度PP材质，可360º旋转调节方向，易拆卸、重组及清洗。</w:t>
            </w:r>
            <w:r w:rsidRPr="004067B3">
              <w:rPr>
                <w:rFonts w:ascii="宋体" w:eastAsia="宋体" w:hAnsi="宋体" w:cs="宋体" w:hint="eastAsia"/>
                <w:kern w:val="0"/>
                <w:sz w:val="18"/>
                <w:szCs w:val="18"/>
              </w:rPr>
              <w:br/>
              <w:t>2、关节密封圈：不易老化之高密度橡胶。</w:t>
            </w:r>
            <w:r w:rsidRPr="004067B3">
              <w:rPr>
                <w:rFonts w:ascii="宋体" w:eastAsia="宋体" w:hAnsi="宋体" w:cs="宋体" w:hint="eastAsia"/>
                <w:kern w:val="0"/>
                <w:sz w:val="18"/>
                <w:szCs w:val="18"/>
              </w:rPr>
              <w:br/>
              <w:t>3、关节连接杆：304不锈钢。</w:t>
            </w:r>
            <w:r w:rsidRPr="004067B3">
              <w:rPr>
                <w:rFonts w:ascii="宋体" w:eastAsia="宋体" w:hAnsi="宋体" w:cs="宋体" w:hint="eastAsia"/>
                <w:kern w:val="0"/>
                <w:sz w:val="18"/>
                <w:szCs w:val="18"/>
              </w:rPr>
              <w:br/>
              <w:t>4、关节松紧旋钮：高密度PP材质，内嵌铜质螺母，于关节连接杆锁合。</w:t>
            </w:r>
            <w:r w:rsidRPr="004067B3">
              <w:rPr>
                <w:rFonts w:ascii="宋体" w:eastAsia="宋体" w:hAnsi="宋体" w:cs="宋体" w:hint="eastAsia"/>
                <w:kern w:val="0"/>
                <w:sz w:val="18"/>
                <w:szCs w:val="18"/>
              </w:rPr>
              <w:br/>
              <w:t>5、气流调节阀：手动调节外部阀门旋钮，控制进入之气流量。</w:t>
            </w:r>
            <w:r w:rsidRPr="004067B3">
              <w:rPr>
                <w:rFonts w:ascii="宋体" w:eastAsia="宋体" w:hAnsi="宋体" w:cs="宋体" w:hint="eastAsia"/>
                <w:kern w:val="0"/>
                <w:sz w:val="18"/>
                <w:szCs w:val="18"/>
              </w:rPr>
              <w:br/>
              <w:t>6、拱形/杯形集气罩：高密度PP材质。</w:t>
            </w:r>
            <w:r w:rsidRPr="004067B3">
              <w:rPr>
                <w:rFonts w:ascii="宋体" w:eastAsia="宋体" w:hAnsi="宋体" w:cs="宋体" w:hint="eastAsia"/>
                <w:kern w:val="0"/>
                <w:sz w:val="18"/>
                <w:szCs w:val="18"/>
              </w:rPr>
              <w:br/>
            </w:r>
            <w:r w:rsidRPr="004067B3">
              <w:rPr>
                <w:rFonts w:ascii="宋体" w:eastAsia="宋体" w:hAnsi="宋体" w:cs="宋体" w:hint="eastAsia"/>
                <w:b/>
                <w:bCs/>
                <w:kern w:val="0"/>
                <w:sz w:val="18"/>
                <w:szCs w:val="18"/>
              </w:rPr>
              <w:t>含铁胀</w:t>
            </w:r>
            <w:proofErr w:type="gramStart"/>
            <w:r w:rsidRPr="004067B3">
              <w:rPr>
                <w:rFonts w:ascii="宋体" w:eastAsia="宋体" w:hAnsi="宋体" w:cs="宋体" w:hint="eastAsia"/>
                <w:b/>
                <w:bCs/>
                <w:kern w:val="0"/>
                <w:sz w:val="18"/>
                <w:szCs w:val="18"/>
              </w:rPr>
              <w:t>栓</w:t>
            </w:r>
            <w:proofErr w:type="gramEnd"/>
            <w:r w:rsidRPr="004067B3">
              <w:rPr>
                <w:rFonts w:ascii="宋体" w:eastAsia="宋体" w:hAnsi="宋体" w:cs="宋体" w:hint="eastAsia"/>
                <w:b/>
                <w:bCs/>
                <w:kern w:val="0"/>
                <w:sz w:val="18"/>
                <w:szCs w:val="18"/>
              </w:rPr>
              <w:t>、密封胶等安装辅料，含安装费。</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067B3" w:rsidRPr="004067B3" w:rsidRDefault="004067B3" w:rsidP="004067B3">
            <w:pPr>
              <w:widowControl/>
              <w:jc w:val="center"/>
              <w:rPr>
                <w:rFonts w:ascii="宋体" w:eastAsia="宋体" w:hAnsi="宋体" w:cs="宋体" w:hint="eastAsia"/>
                <w:color w:val="000000"/>
                <w:kern w:val="0"/>
                <w:sz w:val="18"/>
                <w:szCs w:val="18"/>
              </w:rPr>
            </w:pPr>
            <w:r w:rsidRPr="004067B3">
              <w:rPr>
                <w:rFonts w:ascii="宋体" w:eastAsia="宋体" w:hAnsi="宋体" w:cs="宋体" w:hint="eastAsia"/>
                <w:noProof/>
                <w:color w:val="000000"/>
                <w:kern w:val="0"/>
                <w:sz w:val="18"/>
                <w:szCs w:val="18"/>
              </w:rPr>
              <w:drawing>
                <wp:anchor distT="0" distB="0" distL="114300" distR="114300" simplePos="0" relativeHeight="251658240" behindDoc="0" locked="0" layoutInCell="1" allowOverlap="1">
                  <wp:simplePos x="0" y="0"/>
                  <wp:positionH relativeFrom="column">
                    <wp:posOffset>86541</wp:posOffset>
                  </wp:positionH>
                  <wp:positionV relativeFrom="paragraph">
                    <wp:posOffset>865505</wp:posOffset>
                  </wp:positionV>
                  <wp:extent cx="1494972" cy="1476375"/>
                  <wp:effectExtent l="0" t="0" r="0" b="0"/>
                  <wp:wrapNone/>
                  <wp:docPr id="5" name="图片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1499611" cy="1480956"/>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r>
    </w:tbl>
    <w:p w:rsidR="009E79DD" w:rsidRPr="004067B3" w:rsidRDefault="009E79DD">
      <w:pPr>
        <w:ind w:firstLineChars="200" w:firstLine="420"/>
        <w:jc w:val="left"/>
        <w:rPr>
          <w:rFonts w:ascii="宋体" w:eastAsia="宋体" w:hAnsi="宋体" w:cs="宋体"/>
          <w:color w:val="000000"/>
          <w:kern w:val="0"/>
          <w:szCs w:val="21"/>
        </w:rPr>
      </w:pPr>
    </w:p>
    <w:p w:rsidR="00A62085" w:rsidRDefault="00FD22C6" w:rsidP="0086679D">
      <w:pPr>
        <w:jc w:val="left"/>
        <w:rPr>
          <w:rFonts w:ascii="宋体" w:eastAsia="宋体" w:hAnsi="宋体"/>
          <w:szCs w:val="21"/>
        </w:rPr>
      </w:pPr>
      <w:r>
        <w:rPr>
          <w:rFonts w:ascii="宋体" w:eastAsia="宋体" w:hAnsi="宋体"/>
          <w:szCs w:val="21"/>
        </w:rPr>
        <w:t>2</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D1378B">
        <w:rPr>
          <w:rFonts w:ascii="宋体" w:eastAsia="宋体" w:hAnsi="宋体" w:hint="eastAsia"/>
          <w:szCs w:val="21"/>
        </w:rPr>
        <w:t>不少于</w:t>
      </w:r>
      <w:r w:rsidR="0086679D">
        <w:rPr>
          <w:rFonts w:ascii="宋体" w:eastAsia="宋体" w:hAnsi="宋体"/>
          <w:szCs w:val="21"/>
        </w:rPr>
        <w:t>5</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FD22C6">
      <w:pPr>
        <w:ind w:firstLineChars="200" w:firstLine="420"/>
        <w:jc w:val="left"/>
        <w:rPr>
          <w:rFonts w:ascii="宋体" w:eastAsia="宋体" w:hAnsi="宋体"/>
          <w:szCs w:val="21"/>
        </w:rPr>
      </w:pPr>
      <w:r>
        <w:rPr>
          <w:rFonts w:ascii="宋体" w:eastAsia="宋体" w:hAnsi="宋体"/>
          <w:szCs w:val="21"/>
        </w:rPr>
        <w:t>3</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137165" w:rsidRDefault="00FD22C6">
      <w:pPr>
        <w:ind w:firstLineChars="200" w:firstLine="420"/>
        <w:jc w:val="left"/>
        <w:rPr>
          <w:rFonts w:ascii="宋体" w:eastAsia="宋体" w:hAnsi="宋体"/>
          <w:szCs w:val="21"/>
        </w:rPr>
      </w:pPr>
      <w:r>
        <w:rPr>
          <w:rFonts w:ascii="宋体" w:eastAsia="宋体" w:hAnsi="宋体"/>
          <w:szCs w:val="21"/>
        </w:rPr>
        <w:t>4</w:t>
      </w:r>
      <w:r w:rsidR="007E3033">
        <w:rPr>
          <w:rFonts w:ascii="宋体" w:eastAsia="宋体" w:hAnsi="宋体" w:hint="eastAsia"/>
          <w:szCs w:val="21"/>
        </w:rPr>
        <w:t>.交货地点：</w:t>
      </w:r>
      <w:r w:rsidR="00730F5D">
        <w:rPr>
          <w:rFonts w:ascii="宋体" w:eastAsia="宋体" w:hAnsi="宋体" w:hint="eastAsia"/>
          <w:szCs w:val="21"/>
        </w:rPr>
        <w:t>北京大学人民医院西直门院区</w:t>
      </w:r>
    </w:p>
    <w:p w:rsidR="00A62085" w:rsidRDefault="00FD22C6">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FD22C6">
      <w:pPr>
        <w:ind w:firstLineChars="200" w:firstLine="420"/>
        <w:jc w:val="left"/>
        <w:rPr>
          <w:rFonts w:ascii="宋体" w:eastAsia="宋体" w:hAnsi="宋体"/>
          <w:szCs w:val="21"/>
        </w:rPr>
      </w:pPr>
      <w:r>
        <w:rPr>
          <w:rFonts w:ascii="宋体" w:eastAsia="宋体" w:hAnsi="宋体"/>
          <w:szCs w:val="21"/>
        </w:rPr>
        <w:lastRenderedPageBreak/>
        <w:t>6</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w:t>
      </w:r>
      <w:r w:rsidR="00D919EF">
        <w:rPr>
          <w:rFonts w:ascii="宋体" w:eastAsia="宋体" w:hAnsi="宋体" w:hint="eastAsia"/>
          <w:szCs w:val="21"/>
        </w:rPr>
        <w:t>投标须知</w:t>
      </w:r>
      <w:r>
        <w:rPr>
          <w:rFonts w:ascii="宋体" w:eastAsia="宋体" w:hAnsi="宋体" w:hint="eastAsia"/>
          <w:szCs w:val="21"/>
        </w:rPr>
        <w:t>”中要求的所有资料并加盖公章。</w:t>
      </w:r>
    </w:p>
    <w:p w:rsidR="00D919EF" w:rsidRDefault="00D919E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提供开标日</w:t>
      </w:r>
      <w:r>
        <w:rPr>
          <w:rFonts w:ascii="宋体" w:eastAsia="宋体" w:hAnsi="宋体"/>
          <w:szCs w:val="21"/>
        </w:rPr>
        <w:t>近5</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查询记录截图</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035A63">
        <w:rPr>
          <w:rFonts w:ascii="宋体" w:eastAsia="宋体" w:hAnsi="宋体"/>
          <w:szCs w:val="21"/>
        </w:rPr>
        <w:t>4</w:t>
      </w:r>
      <w:r>
        <w:rPr>
          <w:rFonts w:ascii="宋体" w:eastAsia="宋体" w:hAnsi="宋体" w:hint="eastAsia"/>
          <w:szCs w:val="21"/>
        </w:rPr>
        <w:t>）近三年类似项目合同业绩证明及合同复印件（自2</w:t>
      </w:r>
      <w:r>
        <w:rPr>
          <w:rFonts w:ascii="宋体" w:eastAsia="宋体" w:hAnsi="宋体"/>
          <w:szCs w:val="21"/>
        </w:rPr>
        <w:t>02</w:t>
      </w:r>
      <w:r w:rsidR="0086679D">
        <w:rPr>
          <w:rFonts w:ascii="宋体" w:eastAsia="宋体" w:hAnsi="宋体"/>
          <w:szCs w:val="21"/>
        </w:rPr>
        <w:t>2</w:t>
      </w:r>
      <w:r>
        <w:rPr>
          <w:rFonts w:ascii="宋体" w:eastAsia="宋体" w:hAnsi="宋体" w:hint="eastAsia"/>
          <w:szCs w:val="21"/>
        </w:rPr>
        <w:t>年</w:t>
      </w:r>
      <w:r w:rsidR="00D919EF">
        <w:rPr>
          <w:rFonts w:ascii="宋体" w:eastAsia="宋体" w:hAnsi="宋体"/>
          <w:szCs w:val="21"/>
        </w:rPr>
        <w:t>11</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rsidTr="00861AD0">
        <w:trPr>
          <w:trHeight w:val="335"/>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CA54A3">
        <w:rPr>
          <w:rFonts w:ascii="宋体" w:eastAsia="宋体" w:hAnsi="宋体"/>
          <w:szCs w:val="21"/>
        </w:rPr>
        <w:t>5</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CA54A3">
        <w:rPr>
          <w:rFonts w:ascii="宋体" w:eastAsia="宋体" w:hAnsi="宋体"/>
          <w:szCs w:val="21"/>
        </w:rPr>
        <w:t>6</w:t>
      </w:r>
      <w:r>
        <w:rPr>
          <w:rFonts w:ascii="宋体" w:eastAsia="宋体" w:hAnsi="宋体" w:hint="eastAsia"/>
          <w:szCs w:val="21"/>
        </w:rPr>
        <w:t>）投标人对本项目的供货期、服务承诺、实施方案等承诺。（加盖单位公章）。</w:t>
      </w:r>
    </w:p>
    <w:p w:rsidR="00A8717D" w:rsidRDefault="007E3033" w:rsidP="000742AE">
      <w:pPr>
        <w:ind w:firstLineChars="200" w:firstLine="420"/>
        <w:jc w:val="left"/>
        <w:rPr>
          <w:rFonts w:ascii="宋体" w:eastAsia="宋体" w:hAnsi="宋体" w:hint="eastAsia"/>
          <w:szCs w:val="21"/>
        </w:rPr>
      </w:pPr>
      <w:r>
        <w:rPr>
          <w:rFonts w:ascii="宋体" w:eastAsia="宋体" w:hAnsi="宋体" w:hint="eastAsia"/>
          <w:szCs w:val="21"/>
        </w:rPr>
        <w:t>（</w:t>
      </w:r>
      <w:r w:rsidR="00CA54A3">
        <w:rPr>
          <w:rFonts w:ascii="宋体" w:eastAsia="宋体" w:hAnsi="宋体"/>
          <w:szCs w:val="21"/>
        </w:rPr>
        <w:t>7</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709"/>
        <w:gridCol w:w="1560"/>
        <w:gridCol w:w="2457"/>
        <w:gridCol w:w="796"/>
        <w:gridCol w:w="662"/>
        <w:gridCol w:w="927"/>
        <w:gridCol w:w="1185"/>
      </w:tblGrid>
      <w:tr w:rsidR="00780439" w:rsidRPr="00E5130D" w:rsidTr="00780439">
        <w:trPr>
          <w:trHeight w:val="395"/>
          <w:jc w:val="center"/>
        </w:trPr>
        <w:tc>
          <w:tcPr>
            <w:tcW w:w="427" w:type="pct"/>
            <w:tcBorders>
              <w:top w:val="single" w:sz="4" w:space="0" w:color="000000"/>
              <w:left w:val="single" w:sz="4" w:space="0" w:color="000000"/>
              <w:bottom w:val="single" w:sz="4" w:space="0" w:color="000000"/>
              <w:right w:val="single" w:sz="4" w:space="0" w:color="000000"/>
            </w:tcBorders>
          </w:tcPr>
          <w:p w:rsidR="00780439" w:rsidRPr="00E5130D" w:rsidRDefault="00780439" w:rsidP="00780439">
            <w:pPr>
              <w:jc w:val="center"/>
              <w:rPr>
                <w:rFonts w:ascii="宋体" w:eastAsia="宋体" w:hAnsi="宋体"/>
                <w:szCs w:val="21"/>
              </w:rPr>
            </w:pPr>
            <w:r>
              <w:rPr>
                <w:rFonts w:ascii="宋体" w:eastAsia="宋体" w:hAnsi="宋体" w:hint="eastAsia"/>
                <w:szCs w:val="21"/>
              </w:rPr>
              <w:t>序号</w:t>
            </w:r>
          </w:p>
        </w:tc>
        <w:tc>
          <w:tcPr>
            <w:tcW w:w="940" w:type="pct"/>
            <w:tcBorders>
              <w:top w:val="single" w:sz="4" w:space="0" w:color="000000"/>
              <w:left w:val="single" w:sz="4" w:space="0" w:color="000000"/>
              <w:bottom w:val="single" w:sz="4" w:space="0" w:color="000000"/>
              <w:right w:val="single" w:sz="4" w:space="0" w:color="000000"/>
            </w:tcBorders>
            <w:vAlign w:val="center"/>
          </w:tcPr>
          <w:p w:rsidR="00780439" w:rsidRPr="00E5130D" w:rsidRDefault="00780439" w:rsidP="00064290">
            <w:pPr>
              <w:jc w:val="center"/>
              <w:rPr>
                <w:rFonts w:ascii="宋体" w:eastAsia="宋体" w:hAnsi="宋体"/>
                <w:szCs w:val="21"/>
              </w:rPr>
            </w:pPr>
            <w:r w:rsidRPr="00E5130D">
              <w:rPr>
                <w:rFonts w:ascii="宋体" w:eastAsia="宋体" w:hAnsi="宋体"/>
                <w:szCs w:val="21"/>
              </w:rPr>
              <w:t>产品名称</w:t>
            </w:r>
          </w:p>
        </w:tc>
        <w:tc>
          <w:tcPr>
            <w:tcW w:w="1481" w:type="pct"/>
            <w:tcBorders>
              <w:top w:val="single" w:sz="4" w:space="0" w:color="000000"/>
              <w:left w:val="single" w:sz="4" w:space="0" w:color="000000"/>
              <w:bottom w:val="single" w:sz="4" w:space="0" w:color="000000"/>
              <w:right w:val="single" w:sz="4" w:space="0" w:color="000000"/>
            </w:tcBorders>
            <w:vAlign w:val="center"/>
          </w:tcPr>
          <w:p w:rsidR="00780439" w:rsidRPr="00E5130D" w:rsidRDefault="00780439" w:rsidP="00064290">
            <w:pPr>
              <w:ind w:firstLineChars="200" w:firstLine="420"/>
              <w:jc w:val="center"/>
              <w:rPr>
                <w:rFonts w:ascii="宋体" w:eastAsia="宋体" w:hAnsi="宋体"/>
                <w:szCs w:val="21"/>
              </w:rPr>
            </w:pPr>
            <w:r>
              <w:rPr>
                <w:rFonts w:ascii="宋体" w:eastAsia="宋体" w:hAnsi="宋体" w:hint="eastAsia"/>
                <w:szCs w:val="21"/>
              </w:rPr>
              <w:t>尺寸</w:t>
            </w:r>
          </w:p>
        </w:tc>
        <w:tc>
          <w:tcPr>
            <w:tcW w:w="480" w:type="pct"/>
            <w:tcBorders>
              <w:top w:val="single" w:sz="4" w:space="0" w:color="000000"/>
              <w:left w:val="single" w:sz="4" w:space="0" w:color="000000"/>
              <w:bottom w:val="single" w:sz="4" w:space="0" w:color="000000"/>
              <w:right w:val="single" w:sz="4" w:space="0" w:color="000000"/>
            </w:tcBorders>
            <w:vAlign w:val="center"/>
          </w:tcPr>
          <w:p w:rsidR="00780439" w:rsidRPr="00E5130D" w:rsidRDefault="00780439" w:rsidP="00064290">
            <w:pPr>
              <w:jc w:val="center"/>
            </w:pPr>
            <w:r w:rsidRPr="00E5130D">
              <w:rPr>
                <w:rFonts w:hint="eastAsia"/>
              </w:rPr>
              <w:t>单位</w:t>
            </w:r>
          </w:p>
        </w:tc>
        <w:tc>
          <w:tcPr>
            <w:tcW w:w="399" w:type="pct"/>
            <w:tcBorders>
              <w:top w:val="single" w:sz="4" w:space="0" w:color="000000"/>
              <w:left w:val="single" w:sz="4" w:space="0" w:color="000000"/>
              <w:bottom w:val="single" w:sz="4" w:space="0" w:color="000000"/>
              <w:right w:val="single" w:sz="4" w:space="0" w:color="000000"/>
            </w:tcBorders>
            <w:vAlign w:val="center"/>
          </w:tcPr>
          <w:p w:rsidR="00780439" w:rsidRPr="00E5130D" w:rsidRDefault="00780439" w:rsidP="00064290">
            <w:pPr>
              <w:jc w:val="center"/>
            </w:pPr>
            <w:r w:rsidRPr="00E5130D">
              <w:rPr>
                <w:rFonts w:hint="eastAsia"/>
              </w:rPr>
              <w:t>数量</w:t>
            </w:r>
          </w:p>
        </w:tc>
        <w:tc>
          <w:tcPr>
            <w:tcW w:w="559" w:type="pct"/>
            <w:tcBorders>
              <w:top w:val="single" w:sz="4" w:space="0" w:color="000000"/>
              <w:left w:val="single" w:sz="4" w:space="0" w:color="000000"/>
              <w:bottom w:val="single" w:sz="4" w:space="0" w:color="000000"/>
              <w:right w:val="single" w:sz="4" w:space="0" w:color="000000"/>
            </w:tcBorders>
            <w:vAlign w:val="center"/>
          </w:tcPr>
          <w:p w:rsidR="00780439" w:rsidRPr="00E5130D" w:rsidRDefault="00780439" w:rsidP="00064290">
            <w:pPr>
              <w:jc w:val="center"/>
            </w:pPr>
            <w:r>
              <w:rPr>
                <w:rFonts w:hint="eastAsia"/>
              </w:rPr>
              <w:t>单价</w:t>
            </w:r>
          </w:p>
        </w:tc>
        <w:tc>
          <w:tcPr>
            <w:tcW w:w="714" w:type="pct"/>
            <w:tcBorders>
              <w:top w:val="single" w:sz="4" w:space="0" w:color="000000"/>
              <w:left w:val="single" w:sz="4" w:space="0" w:color="000000"/>
              <w:bottom w:val="single" w:sz="4" w:space="0" w:color="000000"/>
              <w:right w:val="single" w:sz="4" w:space="0" w:color="000000"/>
            </w:tcBorders>
            <w:vAlign w:val="center"/>
          </w:tcPr>
          <w:p w:rsidR="00780439" w:rsidRDefault="00780439" w:rsidP="00064290">
            <w:pPr>
              <w:jc w:val="center"/>
            </w:pPr>
            <w:r>
              <w:rPr>
                <w:rFonts w:hint="eastAsia"/>
              </w:rPr>
              <w:t>合计</w:t>
            </w:r>
          </w:p>
        </w:tc>
      </w:tr>
      <w:tr w:rsidR="00780439" w:rsidRPr="00E5130D" w:rsidTr="00780439">
        <w:trPr>
          <w:trHeight w:val="39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b/>
                <w:bCs/>
                <w:color w:val="000000"/>
                <w:kern w:val="0"/>
                <w:sz w:val="18"/>
                <w:szCs w:val="18"/>
              </w:rPr>
            </w:pPr>
            <w:r w:rsidRPr="00946857">
              <w:rPr>
                <w:rFonts w:ascii="宋体" w:eastAsia="宋体" w:hAnsi="宋体" w:cs="宋体" w:hint="eastAsia"/>
                <w:b/>
                <w:bCs/>
                <w:color w:val="000000"/>
                <w:kern w:val="0"/>
                <w:sz w:val="18"/>
                <w:szCs w:val="18"/>
              </w:rPr>
              <w:t>1</w:t>
            </w:r>
          </w:p>
        </w:tc>
        <w:tc>
          <w:tcPr>
            <w:tcW w:w="940" w:type="pct"/>
            <w:tcBorders>
              <w:top w:val="single" w:sz="4" w:space="0" w:color="000000"/>
              <w:left w:val="single" w:sz="4" w:space="0" w:color="000000"/>
              <w:bottom w:val="single" w:sz="4" w:space="0" w:color="000000"/>
              <w:right w:val="single" w:sz="4" w:space="0" w:color="000000"/>
            </w:tcBorders>
            <w:vAlign w:val="center"/>
          </w:tcPr>
          <w:p w:rsidR="00780439" w:rsidRPr="00117426" w:rsidRDefault="00117426" w:rsidP="00117426">
            <w:pPr>
              <w:widowControl/>
              <w:jc w:val="center"/>
              <w:rPr>
                <w:rFonts w:hint="eastAsia"/>
                <w:color w:val="000000"/>
                <w:kern w:val="0"/>
                <w:sz w:val="20"/>
                <w:szCs w:val="20"/>
              </w:rPr>
            </w:pPr>
            <w:r>
              <w:rPr>
                <w:rFonts w:hint="eastAsia"/>
                <w:color w:val="000000"/>
                <w:sz w:val="20"/>
                <w:szCs w:val="20"/>
              </w:rPr>
              <w:t>通风柜</w:t>
            </w:r>
          </w:p>
        </w:tc>
        <w:tc>
          <w:tcPr>
            <w:tcW w:w="1481"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117426" w:rsidP="00780439">
            <w:pPr>
              <w:widowControl/>
              <w:jc w:val="center"/>
              <w:rPr>
                <w:rFonts w:ascii="宋体" w:eastAsia="宋体" w:hAnsi="宋体" w:cs="宋体"/>
                <w:color w:val="000000"/>
                <w:kern w:val="0"/>
                <w:sz w:val="18"/>
                <w:szCs w:val="18"/>
              </w:rPr>
            </w:pPr>
            <w:r w:rsidRPr="00117426">
              <w:rPr>
                <w:rFonts w:ascii="宋体" w:eastAsia="宋体" w:hAnsi="宋体" w:cs="宋体"/>
                <w:color w:val="000000"/>
                <w:kern w:val="0"/>
                <w:sz w:val="18"/>
                <w:szCs w:val="18"/>
              </w:rPr>
              <w:t>1450*850*2350</w:t>
            </w:r>
          </w:p>
        </w:tc>
        <w:tc>
          <w:tcPr>
            <w:tcW w:w="480"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color w:val="000000"/>
                <w:kern w:val="0"/>
                <w:sz w:val="18"/>
                <w:szCs w:val="18"/>
              </w:rPr>
            </w:pPr>
            <w:r w:rsidRPr="00946857">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color w:val="000000"/>
                <w:kern w:val="0"/>
                <w:sz w:val="18"/>
                <w:szCs w:val="18"/>
              </w:rPr>
            </w:pPr>
            <w:r w:rsidRPr="00946857">
              <w:rPr>
                <w:rFonts w:ascii="宋体" w:eastAsia="宋体" w:hAnsi="宋体" w:cs="宋体" w:hint="eastAsia"/>
                <w:color w:val="000000"/>
                <w:kern w:val="0"/>
                <w:sz w:val="18"/>
                <w:szCs w:val="18"/>
              </w:rPr>
              <w:t>1</w:t>
            </w:r>
          </w:p>
        </w:tc>
        <w:tc>
          <w:tcPr>
            <w:tcW w:w="559" w:type="pct"/>
            <w:tcBorders>
              <w:top w:val="single" w:sz="4" w:space="0" w:color="000000"/>
              <w:left w:val="single" w:sz="4" w:space="0" w:color="000000"/>
              <w:bottom w:val="single" w:sz="4" w:space="0" w:color="000000"/>
              <w:right w:val="single" w:sz="4" w:space="0" w:color="000000"/>
            </w:tcBorders>
            <w:vAlign w:val="center"/>
          </w:tcPr>
          <w:p w:rsidR="00780439" w:rsidRPr="008B792D" w:rsidRDefault="00780439" w:rsidP="00780439">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780439" w:rsidRPr="008B792D" w:rsidRDefault="00780439" w:rsidP="00780439">
            <w:pPr>
              <w:jc w:val="center"/>
              <w:rPr>
                <w:rFonts w:ascii="宋体" w:eastAsia="宋体" w:hAnsi="宋体"/>
                <w:szCs w:val="21"/>
              </w:rPr>
            </w:pPr>
          </w:p>
        </w:tc>
      </w:tr>
      <w:tr w:rsidR="00780439" w:rsidRPr="00E5130D" w:rsidTr="00780439">
        <w:trPr>
          <w:trHeight w:val="39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b/>
                <w:bCs/>
                <w:color w:val="000000"/>
                <w:kern w:val="0"/>
                <w:sz w:val="18"/>
                <w:szCs w:val="18"/>
              </w:rPr>
            </w:pPr>
            <w:r w:rsidRPr="00946857">
              <w:rPr>
                <w:rFonts w:ascii="宋体" w:eastAsia="宋体" w:hAnsi="宋体" w:cs="宋体" w:hint="eastAsia"/>
                <w:b/>
                <w:bCs/>
                <w:color w:val="000000"/>
                <w:kern w:val="0"/>
                <w:sz w:val="18"/>
                <w:szCs w:val="18"/>
              </w:rPr>
              <w:t>2</w:t>
            </w:r>
          </w:p>
        </w:tc>
        <w:tc>
          <w:tcPr>
            <w:tcW w:w="940" w:type="pct"/>
            <w:tcBorders>
              <w:top w:val="single" w:sz="4" w:space="0" w:color="000000"/>
              <w:left w:val="single" w:sz="4" w:space="0" w:color="000000"/>
              <w:bottom w:val="single" w:sz="4" w:space="0" w:color="000000"/>
              <w:right w:val="single" w:sz="4" w:space="0" w:color="000000"/>
            </w:tcBorders>
            <w:vAlign w:val="center"/>
          </w:tcPr>
          <w:p w:rsidR="00780439" w:rsidRPr="00117426" w:rsidRDefault="00117426" w:rsidP="00117426">
            <w:pPr>
              <w:widowControl/>
              <w:jc w:val="center"/>
              <w:rPr>
                <w:rFonts w:hint="eastAsia"/>
                <w:color w:val="000000"/>
                <w:kern w:val="0"/>
                <w:sz w:val="20"/>
                <w:szCs w:val="20"/>
              </w:rPr>
            </w:pPr>
            <w:r>
              <w:rPr>
                <w:rFonts w:hint="eastAsia"/>
                <w:color w:val="000000"/>
                <w:sz w:val="20"/>
                <w:szCs w:val="20"/>
              </w:rPr>
              <w:t>通风柜</w:t>
            </w:r>
          </w:p>
        </w:tc>
        <w:tc>
          <w:tcPr>
            <w:tcW w:w="1481"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117426" w:rsidP="00780439">
            <w:pPr>
              <w:widowControl/>
              <w:jc w:val="center"/>
              <w:rPr>
                <w:rFonts w:ascii="宋体" w:eastAsia="宋体" w:hAnsi="宋体" w:cs="宋体"/>
                <w:color w:val="000000"/>
                <w:kern w:val="0"/>
                <w:sz w:val="18"/>
                <w:szCs w:val="18"/>
              </w:rPr>
            </w:pPr>
            <w:r w:rsidRPr="00117426">
              <w:rPr>
                <w:rFonts w:ascii="宋体" w:eastAsia="宋体" w:hAnsi="宋体" w:cs="宋体"/>
                <w:color w:val="000000"/>
                <w:kern w:val="0"/>
                <w:sz w:val="18"/>
                <w:szCs w:val="18"/>
              </w:rPr>
              <w:t>1450*850*2350</w:t>
            </w:r>
          </w:p>
        </w:tc>
        <w:tc>
          <w:tcPr>
            <w:tcW w:w="480"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color w:val="000000"/>
                <w:kern w:val="0"/>
                <w:sz w:val="18"/>
                <w:szCs w:val="18"/>
              </w:rPr>
            </w:pPr>
            <w:r w:rsidRPr="00946857">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color w:val="000000"/>
                <w:kern w:val="0"/>
                <w:sz w:val="18"/>
                <w:szCs w:val="18"/>
              </w:rPr>
            </w:pPr>
            <w:r w:rsidRPr="00946857">
              <w:rPr>
                <w:rFonts w:ascii="宋体" w:eastAsia="宋体" w:hAnsi="宋体" w:cs="宋体" w:hint="eastAsia"/>
                <w:color w:val="000000"/>
                <w:kern w:val="0"/>
                <w:sz w:val="18"/>
                <w:szCs w:val="18"/>
              </w:rPr>
              <w:t>1</w:t>
            </w:r>
          </w:p>
        </w:tc>
        <w:tc>
          <w:tcPr>
            <w:tcW w:w="559" w:type="pct"/>
            <w:tcBorders>
              <w:top w:val="single" w:sz="4" w:space="0" w:color="000000"/>
              <w:left w:val="single" w:sz="4" w:space="0" w:color="000000"/>
              <w:bottom w:val="single" w:sz="4" w:space="0" w:color="000000"/>
              <w:right w:val="single" w:sz="4" w:space="0" w:color="000000"/>
            </w:tcBorders>
            <w:vAlign w:val="center"/>
          </w:tcPr>
          <w:p w:rsidR="00780439" w:rsidRPr="008B792D" w:rsidRDefault="00780439" w:rsidP="00780439">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780439" w:rsidRPr="008B792D" w:rsidRDefault="00780439" w:rsidP="00780439">
            <w:pPr>
              <w:jc w:val="center"/>
              <w:rPr>
                <w:rFonts w:ascii="宋体" w:eastAsia="宋体" w:hAnsi="宋体"/>
                <w:szCs w:val="21"/>
              </w:rPr>
            </w:pPr>
          </w:p>
        </w:tc>
      </w:tr>
      <w:tr w:rsidR="00780439" w:rsidRPr="00E5130D" w:rsidTr="00780439">
        <w:trPr>
          <w:trHeight w:val="294"/>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b/>
                <w:bCs/>
                <w:color w:val="000000"/>
                <w:kern w:val="0"/>
                <w:sz w:val="18"/>
                <w:szCs w:val="18"/>
              </w:rPr>
            </w:pPr>
            <w:r w:rsidRPr="00946857">
              <w:rPr>
                <w:rFonts w:ascii="宋体" w:eastAsia="宋体" w:hAnsi="宋体" w:cs="宋体" w:hint="eastAsia"/>
                <w:b/>
                <w:bCs/>
                <w:color w:val="000000"/>
                <w:kern w:val="0"/>
                <w:sz w:val="18"/>
                <w:szCs w:val="18"/>
              </w:rPr>
              <w:t>3</w:t>
            </w:r>
          </w:p>
        </w:tc>
        <w:tc>
          <w:tcPr>
            <w:tcW w:w="940"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117426" w:rsidP="00780439">
            <w:pPr>
              <w:widowControl/>
              <w:jc w:val="center"/>
              <w:rPr>
                <w:rFonts w:ascii="宋体" w:eastAsia="宋体" w:hAnsi="宋体" w:cs="宋体"/>
                <w:color w:val="000000"/>
                <w:kern w:val="0"/>
                <w:sz w:val="18"/>
                <w:szCs w:val="18"/>
              </w:rPr>
            </w:pPr>
            <w:r w:rsidRPr="00117426">
              <w:rPr>
                <w:rFonts w:ascii="宋体" w:eastAsia="宋体" w:hAnsi="宋体" w:cs="宋体" w:hint="eastAsia"/>
                <w:color w:val="000000"/>
                <w:kern w:val="0"/>
                <w:sz w:val="18"/>
                <w:szCs w:val="18"/>
              </w:rPr>
              <w:t>万向抽气罩</w:t>
            </w:r>
          </w:p>
        </w:tc>
        <w:tc>
          <w:tcPr>
            <w:tcW w:w="1481"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117426" w:rsidP="00780439">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无</w:t>
            </w:r>
          </w:p>
        </w:tc>
        <w:tc>
          <w:tcPr>
            <w:tcW w:w="480"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780439" w:rsidP="00780439">
            <w:pPr>
              <w:widowControl/>
              <w:jc w:val="center"/>
              <w:rPr>
                <w:rFonts w:ascii="宋体" w:eastAsia="宋体" w:hAnsi="宋体" w:cs="宋体"/>
                <w:color w:val="000000"/>
                <w:kern w:val="0"/>
                <w:sz w:val="18"/>
                <w:szCs w:val="18"/>
              </w:rPr>
            </w:pPr>
            <w:r w:rsidRPr="00946857">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780439" w:rsidRPr="00946857" w:rsidRDefault="009C1A22" w:rsidP="00780439">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10</w:t>
            </w:r>
          </w:p>
        </w:tc>
        <w:tc>
          <w:tcPr>
            <w:tcW w:w="559" w:type="pct"/>
            <w:tcBorders>
              <w:top w:val="single" w:sz="4" w:space="0" w:color="000000"/>
              <w:left w:val="single" w:sz="4" w:space="0" w:color="000000"/>
              <w:bottom w:val="single" w:sz="4" w:space="0" w:color="000000"/>
              <w:right w:val="single" w:sz="4" w:space="0" w:color="000000"/>
            </w:tcBorders>
          </w:tcPr>
          <w:p w:rsidR="00780439" w:rsidRPr="008B792D" w:rsidRDefault="00780439" w:rsidP="00780439">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780439" w:rsidRPr="008B792D" w:rsidRDefault="00780439" w:rsidP="00780439">
            <w:pPr>
              <w:jc w:val="center"/>
              <w:rPr>
                <w:rFonts w:ascii="宋体" w:eastAsia="宋体" w:hAnsi="宋体"/>
                <w:szCs w:val="21"/>
              </w:rPr>
            </w:pPr>
          </w:p>
        </w:tc>
      </w:tr>
      <w:tr w:rsidR="00780439" w:rsidRPr="00064290" w:rsidTr="00780439">
        <w:trPr>
          <w:trHeight w:val="419"/>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780439" w:rsidRPr="00E5130D" w:rsidRDefault="00780439" w:rsidP="00064290">
            <w:pPr>
              <w:jc w:val="left"/>
            </w:pPr>
            <w:r>
              <w:rPr>
                <w:rFonts w:hint="eastAsia"/>
              </w:rPr>
              <w:t xml:space="preserve">总价：（大写金额） </w:t>
            </w:r>
            <w:r>
              <w:t xml:space="preserve">                               </w:t>
            </w:r>
            <w:r>
              <w:rPr>
                <w:rFonts w:hint="eastAsia"/>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w:t>
      </w:r>
      <w:r w:rsidR="00470279">
        <w:rPr>
          <w:rFonts w:ascii="宋体" w:eastAsia="宋体" w:hAnsi="宋体" w:hint="eastAsia"/>
          <w:szCs w:val="21"/>
        </w:rPr>
        <w:t>投标须知</w:t>
      </w:r>
      <w:r>
        <w:rPr>
          <w:rFonts w:ascii="宋体" w:eastAsia="宋体" w:hAnsi="宋体" w:hint="eastAsia"/>
          <w:szCs w:val="21"/>
        </w:rPr>
        <w:t>”不完整或未加盖公章。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、本项目评标委员会由院内科室的评标专家组成，成员</w:t>
      </w:r>
      <w:r w:rsidR="00E16405">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61AD0">
        <w:trPr>
          <w:trHeight w:val="397"/>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7F0910">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61AD0">
        <w:trPr>
          <w:trHeight w:val="1268"/>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7F0910">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7F0910">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A8717D" w:rsidRPr="0088470B" w:rsidTr="0088470B">
        <w:trPr>
          <w:jc w:val="center"/>
        </w:trPr>
        <w:tc>
          <w:tcPr>
            <w:tcW w:w="1242" w:type="dxa"/>
            <w:vMerge w:val="restart"/>
            <w:vAlign w:val="center"/>
          </w:tcPr>
          <w:p w:rsidR="00A8717D" w:rsidRPr="0088470B" w:rsidRDefault="00A8717D" w:rsidP="007F0910">
            <w:pPr>
              <w:spacing w:line="276" w:lineRule="auto"/>
              <w:rPr>
                <w:rFonts w:ascii="宋体" w:eastAsia="宋体" w:hAnsi="宋体"/>
                <w:szCs w:val="21"/>
              </w:rPr>
            </w:pPr>
            <w:r w:rsidRPr="0088470B">
              <w:rPr>
                <w:rFonts w:ascii="宋体" w:eastAsia="宋体" w:hAnsi="宋体" w:hint="eastAsia"/>
                <w:szCs w:val="21"/>
              </w:rPr>
              <w:t>商务</w:t>
            </w:r>
            <w:r w:rsidRPr="0088470B">
              <w:rPr>
                <w:rFonts w:ascii="宋体" w:eastAsia="宋体" w:hAnsi="宋体"/>
                <w:szCs w:val="21"/>
              </w:rPr>
              <w:t>部分</w:t>
            </w:r>
            <w:r w:rsidRPr="0088470B">
              <w:rPr>
                <w:rFonts w:ascii="宋体" w:eastAsia="宋体" w:hAnsi="宋体" w:hint="eastAsia"/>
                <w:szCs w:val="21"/>
              </w:rPr>
              <w:t>（</w:t>
            </w:r>
            <w:r w:rsidR="00707D0B">
              <w:rPr>
                <w:rFonts w:ascii="宋体" w:eastAsia="宋体" w:hAnsi="宋体"/>
                <w:szCs w:val="21"/>
              </w:rPr>
              <w:t>36</w:t>
            </w:r>
            <w:r w:rsidRPr="0088470B">
              <w:rPr>
                <w:rFonts w:ascii="宋体" w:eastAsia="宋体" w:hAnsi="宋体" w:hint="eastAsia"/>
                <w:szCs w:val="21"/>
              </w:rPr>
              <w:t>分）</w:t>
            </w:r>
          </w:p>
        </w:tc>
        <w:tc>
          <w:tcPr>
            <w:tcW w:w="1418" w:type="dxa"/>
            <w:vAlign w:val="center"/>
          </w:tcPr>
          <w:p w:rsidR="00A8717D" w:rsidRPr="0088470B" w:rsidRDefault="00A8717D" w:rsidP="007F0910">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A8717D" w:rsidRPr="0088470B" w:rsidRDefault="00A8717D" w:rsidP="00861AD0">
            <w:pPr>
              <w:widowControl/>
              <w:rPr>
                <w:rFonts w:ascii="宋体" w:eastAsia="宋体" w:hAnsi="宋体"/>
                <w:szCs w:val="21"/>
              </w:rPr>
            </w:pPr>
            <w:r w:rsidRPr="0088470B">
              <w:rPr>
                <w:rFonts w:ascii="宋体" w:eastAsia="宋体" w:hAnsi="宋体" w:hint="eastAsia"/>
                <w:szCs w:val="21"/>
              </w:rPr>
              <w:t>提供近三年内（20</w:t>
            </w:r>
            <w:r>
              <w:rPr>
                <w:rFonts w:ascii="宋体" w:eastAsia="宋体" w:hAnsi="宋体"/>
                <w:szCs w:val="21"/>
              </w:rPr>
              <w:t>22</w:t>
            </w:r>
            <w:r>
              <w:rPr>
                <w:rFonts w:ascii="宋体" w:eastAsia="宋体" w:hAnsi="宋体" w:hint="eastAsia"/>
                <w:szCs w:val="21"/>
              </w:rPr>
              <w:t>年</w:t>
            </w:r>
            <w:r w:rsidR="00AD57C4">
              <w:rPr>
                <w:rFonts w:ascii="宋体" w:eastAsia="宋体" w:hAnsi="宋体"/>
                <w:szCs w:val="21"/>
              </w:rPr>
              <w:t>11</w:t>
            </w:r>
            <w:r>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A8717D" w:rsidRPr="0088470B" w:rsidRDefault="00A8717D" w:rsidP="00612C52">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A8717D" w:rsidRPr="0088470B" w:rsidTr="00583699">
        <w:trPr>
          <w:trHeight w:val="980"/>
          <w:jc w:val="center"/>
        </w:trPr>
        <w:tc>
          <w:tcPr>
            <w:tcW w:w="1242" w:type="dxa"/>
            <w:vMerge/>
            <w:vAlign w:val="center"/>
          </w:tcPr>
          <w:p w:rsidR="00A8717D" w:rsidRPr="0088470B" w:rsidRDefault="00A8717D" w:rsidP="007F0910">
            <w:pPr>
              <w:spacing w:line="276" w:lineRule="auto"/>
              <w:jc w:val="center"/>
              <w:rPr>
                <w:rFonts w:ascii="宋体" w:eastAsia="宋体" w:hAnsi="宋体"/>
                <w:szCs w:val="21"/>
              </w:rPr>
            </w:pPr>
          </w:p>
        </w:tc>
        <w:tc>
          <w:tcPr>
            <w:tcW w:w="1418" w:type="dxa"/>
            <w:vAlign w:val="center"/>
          </w:tcPr>
          <w:p w:rsidR="00A8717D" w:rsidRPr="0088470B" w:rsidRDefault="00A8717D" w:rsidP="007F0910">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A8717D" w:rsidRPr="0088470B" w:rsidRDefault="00A8717D" w:rsidP="00861AD0">
            <w:pPr>
              <w:widowControl/>
              <w:rPr>
                <w:rFonts w:ascii="宋体" w:eastAsia="宋体" w:hAnsi="宋体"/>
                <w:szCs w:val="21"/>
              </w:rPr>
            </w:pPr>
            <w:r w:rsidRPr="0088470B">
              <w:rPr>
                <w:rFonts w:ascii="宋体" w:eastAsia="宋体" w:hAnsi="宋体" w:hint="eastAsia"/>
                <w:szCs w:val="21"/>
              </w:rPr>
              <w:t>投标人具有质量管理体系、环境管理体系、职业健康安全管理体系认证证书，每有一项得</w:t>
            </w:r>
            <w:r w:rsidR="00CF04B9">
              <w:rPr>
                <w:rFonts w:ascii="宋体" w:eastAsia="宋体" w:hAnsi="宋体"/>
                <w:szCs w:val="21"/>
              </w:rPr>
              <w:t>2</w:t>
            </w:r>
            <w:r w:rsidRPr="0088470B">
              <w:rPr>
                <w:rFonts w:ascii="宋体" w:eastAsia="宋体" w:hAnsi="宋体" w:hint="eastAsia"/>
                <w:szCs w:val="21"/>
              </w:rPr>
              <w:t>分，最高</w:t>
            </w:r>
            <w:r>
              <w:rPr>
                <w:rFonts w:ascii="宋体" w:eastAsia="宋体" w:hAnsi="宋体"/>
                <w:szCs w:val="21"/>
              </w:rPr>
              <w:t>6</w:t>
            </w:r>
            <w:r w:rsidRPr="0088470B">
              <w:rPr>
                <w:rFonts w:ascii="宋体" w:eastAsia="宋体" w:hAnsi="宋体" w:hint="eastAsia"/>
                <w:szCs w:val="21"/>
              </w:rPr>
              <w:t>分。</w:t>
            </w:r>
          </w:p>
        </w:tc>
        <w:tc>
          <w:tcPr>
            <w:tcW w:w="851" w:type="dxa"/>
            <w:vAlign w:val="center"/>
          </w:tcPr>
          <w:p w:rsidR="00A8717D" w:rsidRPr="0088470B" w:rsidRDefault="00A8717D" w:rsidP="007F0910">
            <w:pPr>
              <w:spacing w:line="276" w:lineRule="auto"/>
              <w:ind w:firstLineChars="100" w:firstLine="210"/>
              <w:rPr>
                <w:rFonts w:ascii="宋体" w:eastAsia="宋体" w:hAnsi="宋体"/>
                <w:szCs w:val="21"/>
              </w:rPr>
            </w:pPr>
            <w:r>
              <w:rPr>
                <w:rFonts w:ascii="宋体" w:eastAsia="宋体" w:hAnsi="宋体"/>
                <w:szCs w:val="21"/>
              </w:rPr>
              <w:t>6</w:t>
            </w:r>
          </w:p>
        </w:tc>
      </w:tr>
      <w:tr w:rsidR="00A8717D" w:rsidRPr="0088470B" w:rsidTr="0038092F">
        <w:trPr>
          <w:trHeight w:val="1055"/>
          <w:jc w:val="center"/>
        </w:trPr>
        <w:tc>
          <w:tcPr>
            <w:tcW w:w="1242" w:type="dxa"/>
            <w:vMerge/>
            <w:vAlign w:val="center"/>
          </w:tcPr>
          <w:p w:rsidR="00A8717D" w:rsidRPr="0088470B" w:rsidRDefault="00A8717D" w:rsidP="007F0910">
            <w:pPr>
              <w:spacing w:line="276" w:lineRule="auto"/>
              <w:jc w:val="center"/>
              <w:rPr>
                <w:rFonts w:ascii="宋体" w:eastAsia="宋体" w:hAnsi="宋体"/>
                <w:szCs w:val="21"/>
              </w:rPr>
            </w:pPr>
          </w:p>
        </w:tc>
        <w:tc>
          <w:tcPr>
            <w:tcW w:w="1418" w:type="dxa"/>
            <w:vAlign w:val="center"/>
          </w:tcPr>
          <w:p w:rsidR="00A8717D" w:rsidRPr="0088470B" w:rsidRDefault="00A8717D" w:rsidP="007F0910">
            <w:pPr>
              <w:widowControl/>
              <w:spacing w:line="276" w:lineRule="auto"/>
              <w:rPr>
                <w:rFonts w:ascii="宋体" w:eastAsia="宋体" w:hAnsi="宋体"/>
                <w:szCs w:val="21"/>
              </w:rPr>
            </w:pPr>
            <w:r>
              <w:rPr>
                <w:rFonts w:ascii="宋体" w:eastAsia="宋体" w:hAnsi="宋体" w:hint="eastAsia"/>
                <w:szCs w:val="21"/>
              </w:rPr>
              <w:t>项目要求</w:t>
            </w:r>
          </w:p>
        </w:tc>
        <w:tc>
          <w:tcPr>
            <w:tcW w:w="4281" w:type="dxa"/>
            <w:vAlign w:val="center"/>
          </w:tcPr>
          <w:p w:rsidR="00A8717D" w:rsidRPr="0088470B" w:rsidRDefault="00A8717D" w:rsidP="00861AD0">
            <w:pPr>
              <w:widowControl/>
              <w:rPr>
                <w:rFonts w:ascii="宋体" w:eastAsia="宋体" w:hAnsi="宋体"/>
                <w:szCs w:val="21"/>
              </w:rPr>
            </w:pPr>
            <w:r>
              <w:rPr>
                <w:rFonts w:ascii="宋体" w:eastAsia="宋体" w:hAnsi="宋体" w:hint="eastAsia"/>
                <w:szCs w:val="21"/>
              </w:rPr>
              <w:t>是否满足项目要求，全部满足得2</w:t>
            </w:r>
            <w:r>
              <w:rPr>
                <w:rFonts w:ascii="宋体" w:eastAsia="宋体" w:hAnsi="宋体"/>
                <w:szCs w:val="21"/>
              </w:rPr>
              <w:t>0</w:t>
            </w:r>
            <w:r>
              <w:rPr>
                <w:rFonts w:ascii="宋体" w:eastAsia="宋体" w:hAnsi="宋体" w:hint="eastAsia"/>
                <w:szCs w:val="21"/>
              </w:rPr>
              <w:t>分，每</w:t>
            </w:r>
            <w:r w:rsidRPr="0088470B">
              <w:rPr>
                <w:rFonts w:ascii="宋体" w:eastAsia="宋体" w:hAnsi="宋体" w:hint="eastAsia"/>
                <w:szCs w:val="21"/>
              </w:rPr>
              <w:t>有一</w:t>
            </w:r>
            <w:r>
              <w:rPr>
                <w:rFonts w:ascii="宋体" w:eastAsia="宋体" w:hAnsi="宋体" w:hint="eastAsia"/>
                <w:szCs w:val="21"/>
              </w:rPr>
              <w:t>项不满足扣</w:t>
            </w:r>
            <w:r w:rsidRPr="0088470B">
              <w:rPr>
                <w:rFonts w:ascii="宋体" w:eastAsia="宋体" w:hAnsi="宋体" w:hint="eastAsia"/>
                <w:szCs w:val="21"/>
              </w:rPr>
              <w:t>2分</w:t>
            </w:r>
            <w:r>
              <w:rPr>
                <w:rFonts w:ascii="宋体" w:eastAsia="宋体" w:hAnsi="宋体" w:hint="eastAsia"/>
                <w:szCs w:val="21"/>
              </w:rPr>
              <w:t>，扣完为止。（需附偏离表或承诺书）</w:t>
            </w:r>
          </w:p>
        </w:tc>
        <w:tc>
          <w:tcPr>
            <w:tcW w:w="851" w:type="dxa"/>
            <w:vAlign w:val="center"/>
          </w:tcPr>
          <w:p w:rsidR="00A8717D" w:rsidRPr="0088470B" w:rsidRDefault="00A8717D" w:rsidP="007F0910">
            <w:pPr>
              <w:spacing w:line="276" w:lineRule="auto"/>
              <w:ind w:firstLineChars="133" w:firstLine="279"/>
              <w:rPr>
                <w:rFonts w:ascii="宋体" w:eastAsia="宋体" w:hAnsi="宋体"/>
                <w:szCs w:val="21"/>
              </w:rPr>
            </w:pPr>
            <w:r>
              <w:rPr>
                <w:rFonts w:ascii="宋体" w:eastAsia="宋体" w:hAnsi="宋体" w:hint="eastAsia"/>
                <w:szCs w:val="21"/>
              </w:rPr>
              <w:t>2</w:t>
            </w:r>
            <w:r>
              <w:rPr>
                <w:rFonts w:ascii="宋体" w:eastAsia="宋体" w:hAnsi="宋体"/>
                <w:szCs w:val="21"/>
              </w:rPr>
              <w:t>0</w:t>
            </w:r>
          </w:p>
        </w:tc>
      </w:tr>
      <w:tr w:rsidR="00A8717D" w:rsidRPr="0088470B" w:rsidTr="00861AD0">
        <w:trPr>
          <w:trHeight w:val="972"/>
          <w:jc w:val="center"/>
        </w:trPr>
        <w:tc>
          <w:tcPr>
            <w:tcW w:w="1242" w:type="dxa"/>
            <w:vMerge w:val="restart"/>
            <w:vAlign w:val="center"/>
          </w:tcPr>
          <w:p w:rsidR="00A8717D" w:rsidRPr="0088470B" w:rsidRDefault="00A8717D" w:rsidP="007F0910">
            <w:pPr>
              <w:spacing w:line="276" w:lineRule="auto"/>
              <w:rPr>
                <w:rFonts w:ascii="宋体" w:eastAsia="宋体" w:hAnsi="宋体"/>
                <w:szCs w:val="21"/>
              </w:rPr>
            </w:pPr>
            <w:r w:rsidRPr="0088470B">
              <w:rPr>
                <w:rFonts w:ascii="宋体" w:eastAsia="宋体" w:hAnsi="宋体" w:hint="eastAsia"/>
                <w:szCs w:val="21"/>
              </w:rPr>
              <w:t>技术部分（</w:t>
            </w:r>
            <w:r w:rsidR="00CF46E7">
              <w:rPr>
                <w:rFonts w:ascii="宋体" w:eastAsia="宋体" w:hAnsi="宋体"/>
                <w:szCs w:val="21"/>
              </w:rPr>
              <w:t>34</w:t>
            </w:r>
            <w:r w:rsidRPr="0088470B">
              <w:rPr>
                <w:rFonts w:ascii="宋体" w:eastAsia="宋体" w:hAnsi="宋体" w:hint="eastAsia"/>
                <w:szCs w:val="21"/>
              </w:rPr>
              <w:t>分）</w:t>
            </w:r>
          </w:p>
        </w:tc>
        <w:tc>
          <w:tcPr>
            <w:tcW w:w="1418" w:type="dxa"/>
            <w:vAlign w:val="center"/>
          </w:tcPr>
          <w:p w:rsidR="00A8717D" w:rsidRPr="0088470B" w:rsidRDefault="00A8717D" w:rsidP="007F0910">
            <w:pPr>
              <w:spacing w:line="276" w:lineRule="auto"/>
              <w:rPr>
                <w:rFonts w:ascii="宋体" w:eastAsia="宋体" w:hAnsi="宋体"/>
                <w:szCs w:val="21"/>
              </w:rPr>
            </w:pPr>
            <w:r w:rsidRPr="0088470B">
              <w:rPr>
                <w:rFonts w:ascii="宋体" w:eastAsia="宋体" w:hAnsi="宋体" w:hint="eastAsia"/>
                <w:szCs w:val="21"/>
              </w:rPr>
              <w:t>整体实施方案评价</w:t>
            </w:r>
          </w:p>
        </w:tc>
        <w:tc>
          <w:tcPr>
            <w:tcW w:w="4281" w:type="dxa"/>
            <w:vAlign w:val="center"/>
          </w:tcPr>
          <w:p w:rsidR="00A8717D" w:rsidRDefault="00A8717D" w:rsidP="00861AD0">
            <w:pPr>
              <w:rPr>
                <w:rFonts w:ascii="宋体" w:eastAsia="宋体" w:hAnsi="宋体"/>
                <w:szCs w:val="21"/>
              </w:rPr>
            </w:pPr>
            <w:r w:rsidRPr="0088470B">
              <w:rPr>
                <w:rFonts w:ascii="宋体" w:eastAsia="宋体" w:hAnsi="宋体" w:hint="eastAsia"/>
                <w:szCs w:val="21"/>
              </w:rPr>
              <w:t xml:space="preserve">针对供应商能够充分说明保证本项目按时供货及进度所采用的措施、计划，配备车辆、人员等供货及安装方案情况进行综合评审，酌情评分 </w:t>
            </w:r>
          </w:p>
          <w:p w:rsidR="00A8717D" w:rsidRDefault="00A8717D" w:rsidP="00861AD0">
            <w:pPr>
              <w:rPr>
                <w:rFonts w:ascii="宋体" w:eastAsia="宋体" w:hAnsi="宋体"/>
                <w:szCs w:val="21"/>
              </w:rPr>
            </w:pPr>
            <w:r>
              <w:rPr>
                <w:rFonts w:ascii="宋体" w:eastAsia="宋体" w:hAnsi="宋体" w:hint="eastAsia"/>
                <w:szCs w:val="21"/>
              </w:rPr>
              <w:t>方案合理可实施性强，得</w:t>
            </w:r>
            <w:r>
              <w:rPr>
                <w:rFonts w:ascii="宋体" w:eastAsia="宋体" w:hAnsi="宋体"/>
                <w:szCs w:val="21"/>
              </w:rPr>
              <w:t>20</w:t>
            </w:r>
            <w:r>
              <w:rPr>
                <w:rFonts w:ascii="宋体" w:eastAsia="宋体" w:hAnsi="宋体" w:hint="eastAsia"/>
                <w:szCs w:val="21"/>
              </w:rPr>
              <w:t>分</w:t>
            </w:r>
          </w:p>
          <w:p w:rsidR="00A8717D" w:rsidRDefault="00A8717D" w:rsidP="00861AD0">
            <w:pPr>
              <w:rPr>
                <w:rFonts w:ascii="宋体" w:eastAsia="宋体" w:hAnsi="宋体"/>
                <w:szCs w:val="21"/>
              </w:rPr>
            </w:pPr>
            <w:r>
              <w:rPr>
                <w:rFonts w:ascii="宋体" w:eastAsia="宋体" w:hAnsi="宋体" w:hint="eastAsia"/>
                <w:szCs w:val="21"/>
              </w:rPr>
              <w:t>方案较合理可实施性较强，得</w:t>
            </w:r>
            <w:r>
              <w:rPr>
                <w:rFonts w:ascii="宋体" w:eastAsia="宋体" w:hAnsi="宋体"/>
                <w:szCs w:val="21"/>
              </w:rPr>
              <w:t>15</w:t>
            </w:r>
            <w:r>
              <w:rPr>
                <w:rFonts w:ascii="宋体" w:eastAsia="宋体" w:hAnsi="宋体" w:hint="eastAsia"/>
                <w:szCs w:val="21"/>
              </w:rPr>
              <w:t>分</w:t>
            </w:r>
          </w:p>
          <w:p w:rsidR="00A8717D" w:rsidRDefault="00A8717D" w:rsidP="00861AD0">
            <w:pPr>
              <w:rPr>
                <w:rFonts w:ascii="宋体" w:eastAsia="宋体" w:hAnsi="宋体"/>
                <w:szCs w:val="21"/>
              </w:rPr>
            </w:pPr>
            <w:r>
              <w:rPr>
                <w:rFonts w:ascii="宋体" w:eastAsia="宋体" w:hAnsi="宋体" w:hint="eastAsia"/>
                <w:szCs w:val="21"/>
              </w:rPr>
              <w:t>方案较合理可实施性一般，得1</w:t>
            </w:r>
            <w:r>
              <w:rPr>
                <w:rFonts w:ascii="宋体" w:eastAsia="宋体" w:hAnsi="宋体"/>
                <w:szCs w:val="21"/>
              </w:rPr>
              <w:t>0</w:t>
            </w:r>
            <w:r>
              <w:rPr>
                <w:rFonts w:ascii="宋体" w:eastAsia="宋体" w:hAnsi="宋体" w:hint="eastAsia"/>
                <w:szCs w:val="21"/>
              </w:rPr>
              <w:t>分</w:t>
            </w:r>
          </w:p>
          <w:p w:rsidR="00A8717D" w:rsidRDefault="00A8717D" w:rsidP="00861AD0">
            <w:pPr>
              <w:rPr>
                <w:rFonts w:ascii="宋体" w:eastAsia="宋体" w:hAnsi="宋体"/>
                <w:szCs w:val="21"/>
              </w:rPr>
            </w:pPr>
            <w:r>
              <w:rPr>
                <w:rFonts w:ascii="宋体" w:eastAsia="宋体" w:hAnsi="宋体" w:hint="eastAsia"/>
                <w:szCs w:val="21"/>
              </w:rPr>
              <w:t>方案一般可实施性一般，得5分</w:t>
            </w:r>
          </w:p>
          <w:p w:rsidR="00A8717D" w:rsidRPr="0088470B" w:rsidRDefault="00A8717D" w:rsidP="00861AD0">
            <w:pPr>
              <w:rPr>
                <w:rFonts w:ascii="宋体" w:eastAsia="宋体" w:hAnsi="宋体"/>
                <w:szCs w:val="21"/>
              </w:rPr>
            </w:pPr>
            <w:r>
              <w:rPr>
                <w:rFonts w:ascii="宋体" w:eastAsia="宋体" w:hAnsi="宋体" w:hint="eastAsia"/>
                <w:szCs w:val="21"/>
              </w:rPr>
              <w:t>方案较差或</w:t>
            </w:r>
            <w:proofErr w:type="gramStart"/>
            <w:r>
              <w:rPr>
                <w:rFonts w:ascii="宋体" w:eastAsia="宋体" w:hAnsi="宋体" w:hint="eastAsia"/>
                <w:szCs w:val="21"/>
              </w:rPr>
              <w:t>无方案得</w:t>
            </w:r>
            <w:proofErr w:type="gramEnd"/>
            <w:r>
              <w:rPr>
                <w:rFonts w:ascii="宋体" w:eastAsia="宋体" w:hAnsi="宋体" w:hint="eastAsia"/>
                <w:szCs w:val="21"/>
              </w:rPr>
              <w:t>0分。</w:t>
            </w:r>
          </w:p>
        </w:tc>
        <w:tc>
          <w:tcPr>
            <w:tcW w:w="851" w:type="dxa"/>
            <w:vAlign w:val="center"/>
          </w:tcPr>
          <w:p w:rsidR="00A8717D" w:rsidRPr="0088470B" w:rsidRDefault="00A8717D" w:rsidP="007F0910">
            <w:pPr>
              <w:spacing w:line="276" w:lineRule="auto"/>
              <w:ind w:firstLineChars="83" w:firstLine="174"/>
              <w:rPr>
                <w:rFonts w:ascii="宋体" w:eastAsia="宋体" w:hAnsi="宋体"/>
                <w:szCs w:val="21"/>
              </w:rPr>
            </w:pPr>
            <w:r>
              <w:rPr>
                <w:rFonts w:ascii="宋体" w:eastAsia="宋体" w:hAnsi="宋体"/>
                <w:szCs w:val="21"/>
              </w:rPr>
              <w:t>20</w:t>
            </w:r>
          </w:p>
        </w:tc>
      </w:tr>
      <w:tr w:rsidR="00A8717D" w:rsidRPr="0088470B" w:rsidTr="00212F17">
        <w:trPr>
          <w:trHeight w:val="977"/>
          <w:jc w:val="center"/>
        </w:trPr>
        <w:tc>
          <w:tcPr>
            <w:tcW w:w="1242" w:type="dxa"/>
            <w:vMerge/>
            <w:vAlign w:val="center"/>
          </w:tcPr>
          <w:p w:rsidR="00A8717D" w:rsidRPr="0088470B" w:rsidRDefault="00A8717D" w:rsidP="007F0910">
            <w:pPr>
              <w:spacing w:line="276" w:lineRule="auto"/>
              <w:rPr>
                <w:rFonts w:ascii="宋体" w:eastAsia="宋体" w:hAnsi="宋体"/>
                <w:szCs w:val="21"/>
              </w:rPr>
            </w:pPr>
            <w:bookmarkStart w:id="2" w:name="gxebd_pack_1_EvalFactorScoreEnd"/>
            <w:bookmarkEnd w:id="2"/>
          </w:p>
        </w:tc>
        <w:tc>
          <w:tcPr>
            <w:tcW w:w="1418" w:type="dxa"/>
            <w:vAlign w:val="center"/>
          </w:tcPr>
          <w:p w:rsidR="00A8717D" w:rsidRPr="0088470B" w:rsidRDefault="00A8717D" w:rsidP="007F0910">
            <w:pPr>
              <w:spacing w:line="276" w:lineRule="auto"/>
              <w:rPr>
                <w:rFonts w:ascii="宋体" w:eastAsia="宋体" w:hAnsi="宋体"/>
                <w:szCs w:val="21"/>
              </w:rPr>
            </w:pPr>
            <w:r w:rsidRPr="0088470B">
              <w:rPr>
                <w:rFonts w:ascii="宋体" w:eastAsia="宋体" w:hAnsi="宋体" w:hint="eastAsia"/>
                <w:szCs w:val="21"/>
              </w:rPr>
              <w:t>增值服务</w:t>
            </w:r>
          </w:p>
        </w:tc>
        <w:tc>
          <w:tcPr>
            <w:tcW w:w="4281" w:type="dxa"/>
            <w:vAlign w:val="center"/>
          </w:tcPr>
          <w:p w:rsidR="00A8717D" w:rsidRPr="0088470B" w:rsidRDefault="00A8717D" w:rsidP="00861AD0">
            <w:pPr>
              <w:rPr>
                <w:rFonts w:ascii="宋体" w:eastAsia="宋体" w:hAnsi="宋体"/>
                <w:szCs w:val="21"/>
              </w:rPr>
            </w:pPr>
            <w:r w:rsidRPr="0088470B">
              <w:rPr>
                <w:rFonts w:ascii="宋体" w:eastAsia="宋体" w:hAnsi="宋体" w:hint="eastAsia"/>
                <w:szCs w:val="21"/>
              </w:rPr>
              <w:t>根据</w:t>
            </w:r>
            <w:r>
              <w:rPr>
                <w:rFonts w:ascii="宋体" w:eastAsia="宋体" w:hAnsi="宋体" w:hint="eastAsia"/>
                <w:szCs w:val="21"/>
              </w:rPr>
              <w:t>供应商</w:t>
            </w:r>
            <w:r w:rsidRPr="0088470B">
              <w:rPr>
                <w:rFonts w:ascii="宋体" w:eastAsia="宋体" w:hAnsi="宋体" w:hint="eastAsia"/>
                <w:szCs w:val="21"/>
              </w:rPr>
              <w:t>提供针对本项目后期提供有价值的额外服务的情况，每提出1项得</w:t>
            </w:r>
            <w:r>
              <w:rPr>
                <w:rFonts w:ascii="宋体" w:eastAsia="宋体" w:hAnsi="宋体"/>
                <w:szCs w:val="21"/>
              </w:rPr>
              <w:t>1</w:t>
            </w:r>
            <w:r w:rsidRPr="0088470B">
              <w:rPr>
                <w:rFonts w:ascii="宋体" w:eastAsia="宋体" w:hAnsi="宋体" w:hint="eastAsia"/>
                <w:szCs w:val="21"/>
              </w:rPr>
              <w:t>分，最多</w:t>
            </w:r>
            <w:r>
              <w:rPr>
                <w:rFonts w:ascii="宋体" w:eastAsia="宋体" w:hAnsi="宋体" w:hint="eastAsia"/>
                <w:szCs w:val="21"/>
              </w:rPr>
              <w:t>5</w:t>
            </w:r>
            <w:r w:rsidRPr="0088470B">
              <w:rPr>
                <w:rFonts w:ascii="宋体" w:eastAsia="宋体" w:hAnsi="宋体" w:hint="eastAsia"/>
                <w:szCs w:val="21"/>
              </w:rPr>
              <w:t>分</w:t>
            </w:r>
          </w:p>
        </w:tc>
        <w:tc>
          <w:tcPr>
            <w:tcW w:w="851" w:type="dxa"/>
            <w:vAlign w:val="center"/>
          </w:tcPr>
          <w:p w:rsidR="00A8717D" w:rsidRPr="0088470B" w:rsidRDefault="00A8717D" w:rsidP="007F0910">
            <w:pPr>
              <w:spacing w:line="276" w:lineRule="auto"/>
              <w:ind w:firstLineChars="83" w:firstLine="174"/>
              <w:rPr>
                <w:rFonts w:ascii="宋体" w:eastAsia="宋体" w:hAnsi="宋体"/>
                <w:szCs w:val="21"/>
              </w:rPr>
            </w:pPr>
            <w:r>
              <w:rPr>
                <w:rFonts w:ascii="宋体" w:eastAsia="宋体" w:hAnsi="宋体"/>
                <w:szCs w:val="21"/>
              </w:rPr>
              <w:t>5</w:t>
            </w:r>
          </w:p>
        </w:tc>
      </w:tr>
      <w:tr w:rsidR="00A8717D" w:rsidRPr="0088470B" w:rsidTr="00861AD0">
        <w:trPr>
          <w:trHeight w:val="905"/>
          <w:jc w:val="center"/>
        </w:trPr>
        <w:tc>
          <w:tcPr>
            <w:tcW w:w="1242" w:type="dxa"/>
            <w:vMerge/>
            <w:vAlign w:val="center"/>
          </w:tcPr>
          <w:p w:rsidR="00A8717D" w:rsidRPr="0088470B" w:rsidRDefault="00A8717D" w:rsidP="007F0910">
            <w:pPr>
              <w:spacing w:line="276" w:lineRule="auto"/>
              <w:ind w:firstLine="440"/>
              <w:rPr>
                <w:rFonts w:ascii="宋体" w:eastAsia="宋体" w:hAnsi="宋体"/>
                <w:szCs w:val="21"/>
              </w:rPr>
            </w:pPr>
          </w:p>
        </w:tc>
        <w:tc>
          <w:tcPr>
            <w:tcW w:w="1418" w:type="dxa"/>
            <w:vAlign w:val="center"/>
          </w:tcPr>
          <w:p w:rsidR="00A8717D" w:rsidRPr="0088470B" w:rsidRDefault="00A8717D" w:rsidP="007F0910">
            <w:pPr>
              <w:spacing w:beforeLines="100" w:before="312" w:line="276" w:lineRule="auto"/>
              <w:rPr>
                <w:rFonts w:ascii="宋体" w:eastAsia="宋体" w:hAnsi="宋体"/>
                <w:szCs w:val="21"/>
              </w:rPr>
            </w:pPr>
            <w:r>
              <w:rPr>
                <w:rFonts w:ascii="宋体" w:eastAsia="宋体" w:hAnsi="宋体" w:hint="eastAsia"/>
                <w:szCs w:val="21"/>
              </w:rPr>
              <w:t>售后服务方案</w:t>
            </w:r>
          </w:p>
        </w:tc>
        <w:tc>
          <w:tcPr>
            <w:tcW w:w="4281" w:type="dxa"/>
            <w:vAlign w:val="center"/>
          </w:tcPr>
          <w:p w:rsidR="00A8717D" w:rsidRDefault="00A8717D" w:rsidP="00861AD0">
            <w:pPr>
              <w:rPr>
                <w:rFonts w:ascii="宋体" w:eastAsia="宋体" w:hAnsi="宋体"/>
                <w:szCs w:val="21"/>
              </w:rPr>
            </w:pPr>
            <w:r>
              <w:rPr>
                <w:rFonts w:ascii="宋体" w:eastAsia="宋体" w:hAnsi="宋体" w:hint="eastAsia"/>
                <w:szCs w:val="21"/>
              </w:rPr>
              <w:t>针对投标人售后服务方案酌情打分</w:t>
            </w:r>
          </w:p>
          <w:p w:rsidR="00A8717D" w:rsidRDefault="00A8717D" w:rsidP="00861AD0">
            <w:pPr>
              <w:rPr>
                <w:rFonts w:ascii="宋体" w:eastAsia="宋体" w:hAnsi="宋体"/>
                <w:szCs w:val="21"/>
              </w:rPr>
            </w:pPr>
            <w:r>
              <w:rPr>
                <w:rFonts w:ascii="宋体" w:eastAsia="宋体" w:hAnsi="宋体" w:hint="eastAsia"/>
                <w:szCs w:val="21"/>
              </w:rPr>
              <w:t>方案合理得</w:t>
            </w:r>
            <w:r w:rsidR="006F19BD">
              <w:rPr>
                <w:rFonts w:ascii="宋体" w:eastAsia="宋体" w:hAnsi="宋体"/>
                <w:szCs w:val="21"/>
              </w:rPr>
              <w:t>9</w:t>
            </w:r>
            <w:r>
              <w:rPr>
                <w:rFonts w:ascii="宋体" w:eastAsia="宋体" w:hAnsi="宋体" w:hint="eastAsia"/>
                <w:szCs w:val="21"/>
              </w:rPr>
              <w:t>分</w:t>
            </w:r>
          </w:p>
          <w:p w:rsidR="00A8717D" w:rsidRDefault="00A8717D" w:rsidP="00861AD0">
            <w:pPr>
              <w:rPr>
                <w:rFonts w:ascii="宋体" w:eastAsia="宋体" w:hAnsi="宋体"/>
                <w:szCs w:val="21"/>
              </w:rPr>
            </w:pPr>
            <w:r>
              <w:rPr>
                <w:rFonts w:ascii="宋体" w:eastAsia="宋体" w:hAnsi="宋体" w:hint="eastAsia"/>
                <w:szCs w:val="21"/>
              </w:rPr>
              <w:t>方案一般得</w:t>
            </w:r>
            <w:r w:rsidR="006F19BD">
              <w:rPr>
                <w:rFonts w:ascii="宋体" w:eastAsia="宋体" w:hAnsi="宋体"/>
                <w:szCs w:val="21"/>
              </w:rPr>
              <w:t>5</w:t>
            </w:r>
            <w:r>
              <w:rPr>
                <w:rFonts w:ascii="宋体" w:eastAsia="宋体" w:hAnsi="宋体" w:hint="eastAsia"/>
                <w:szCs w:val="21"/>
              </w:rPr>
              <w:t>分</w:t>
            </w:r>
          </w:p>
          <w:p w:rsidR="00A8717D" w:rsidRPr="0088470B" w:rsidRDefault="00A8717D" w:rsidP="00861AD0">
            <w:pPr>
              <w:rPr>
                <w:rFonts w:ascii="宋体" w:eastAsia="宋体" w:hAnsi="宋体"/>
                <w:szCs w:val="21"/>
              </w:rPr>
            </w:pPr>
            <w:r>
              <w:rPr>
                <w:rFonts w:ascii="宋体" w:eastAsia="宋体" w:hAnsi="宋体" w:hint="eastAsia"/>
                <w:szCs w:val="21"/>
              </w:rPr>
              <w:t>方案较差或</w:t>
            </w:r>
            <w:proofErr w:type="gramStart"/>
            <w:r>
              <w:rPr>
                <w:rFonts w:ascii="宋体" w:eastAsia="宋体" w:hAnsi="宋体" w:hint="eastAsia"/>
                <w:szCs w:val="21"/>
              </w:rPr>
              <w:t>无方案得</w:t>
            </w:r>
            <w:proofErr w:type="gramEnd"/>
            <w:r>
              <w:rPr>
                <w:rFonts w:ascii="宋体" w:eastAsia="宋体" w:hAnsi="宋体" w:hint="eastAsia"/>
                <w:szCs w:val="21"/>
              </w:rPr>
              <w:t>0分。</w:t>
            </w:r>
          </w:p>
        </w:tc>
        <w:tc>
          <w:tcPr>
            <w:tcW w:w="851" w:type="dxa"/>
            <w:vAlign w:val="center"/>
          </w:tcPr>
          <w:p w:rsidR="00A8717D" w:rsidRPr="0088470B" w:rsidRDefault="00D32B5A" w:rsidP="007F0910">
            <w:pPr>
              <w:spacing w:line="276" w:lineRule="auto"/>
              <w:ind w:firstLineChars="83" w:firstLine="174"/>
              <w:rPr>
                <w:rFonts w:ascii="宋体" w:eastAsia="宋体" w:hAnsi="宋体"/>
                <w:szCs w:val="21"/>
              </w:rPr>
            </w:pPr>
            <w:r>
              <w:rPr>
                <w:rFonts w:ascii="宋体" w:eastAsia="宋体" w:hAnsi="宋体" w:hint="eastAsia"/>
                <w:szCs w:val="21"/>
              </w:rPr>
              <w:t>9</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D169D8">
        <w:rPr>
          <w:rFonts w:ascii="宋体" w:eastAsia="宋体" w:hAnsi="宋体"/>
          <w:szCs w:val="21"/>
        </w:rPr>
        <w:t>5</w:t>
      </w:r>
      <w:r>
        <w:rPr>
          <w:rFonts w:ascii="宋体" w:eastAsia="宋体" w:hAnsi="宋体" w:hint="eastAsia"/>
          <w:szCs w:val="21"/>
        </w:rPr>
        <w:t>年</w:t>
      </w:r>
      <w:r w:rsidR="00B24624">
        <w:rPr>
          <w:rFonts w:ascii="宋体" w:eastAsia="宋体" w:hAnsi="宋体"/>
          <w:szCs w:val="21"/>
        </w:rPr>
        <w:t>12</w:t>
      </w:r>
      <w:r>
        <w:rPr>
          <w:rFonts w:ascii="宋体" w:eastAsia="宋体" w:hAnsi="宋体" w:hint="eastAsia"/>
          <w:szCs w:val="21"/>
        </w:rPr>
        <w:t>月</w:t>
      </w:r>
      <w:r w:rsidR="00B24624">
        <w:rPr>
          <w:rFonts w:ascii="宋体" w:eastAsia="宋体" w:hAnsi="宋体"/>
          <w:szCs w:val="21"/>
        </w:rPr>
        <w:t>3</w:t>
      </w:r>
      <w:r>
        <w:rPr>
          <w:rFonts w:ascii="宋体" w:eastAsia="宋体" w:hAnsi="宋体" w:hint="eastAsia"/>
          <w:szCs w:val="21"/>
        </w:rPr>
        <w:t>日</w:t>
      </w:r>
      <w:r w:rsidR="00B24624">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D169D8">
        <w:rPr>
          <w:rFonts w:ascii="宋体" w:eastAsia="宋体" w:hAnsi="宋体"/>
          <w:szCs w:val="21"/>
        </w:rPr>
        <w:t>5</w:t>
      </w:r>
      <w:r>
        <w:rPr>
          <w:rFonts w:ascii="宋体" w:eastAsia="宋体" w:hAnsi="宋体" w:hint="eastAsia"/>
          <w:szCs w:val="21"/>
        </w:rPr>
        <w:t>年</w:t>
      </w:r>
      <w:r w:rsidR="00B24624">
        <w:rPr>
          <w:rFonts w:ascii="宋体" w:eastAsia="宋体" w:hAnsi="宋体"/>
          <w:szCs w:val="21"/>
        </w:rPr>
        <w:t>12</w:t>
      </w:r>
      <w:r>
        <w:rPr>
          <w:rFonts w:ascii="宋体" w:eastAsia="宋体" w:hAnsi="宋体" w:hint="eastAsia"/>
          <w:szCs w:val="21"/>
        </w:rPr>
        <w:t>月</w:t>
      </w:r>
      <w:r w:rsidR="00B24624">
        <w:rPr>
          <w:rFonts w:ascii="宋体" w:eastAsia="宋体" w:hAnsi="宋体"/>
          <w:szCs w:val="21"/>
        </w:rPr>
        <w:t>3</w:t>
      </w:r>
      <w:r>
        <w:rPr>
          <w:rFonts w:ascii="宋体" w:eastAsia="宋体" w:hAnsi="宋体" w:hint="eastAsia"/>
          <w:szCs w:val="21"/>
        </w:rPr>
        <w:t>日</w:t>
      </w:r>
      <w:r w:rsidR="00B24624">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24624">
        <w:rPr>
          <w:rFonts w:ascii="宋体" w:eastAsia="宋体" w:hAnsi="宋体"/>
          <w:szCs w:val="21"/>
        </w:rPr>
        <w:t>959</w:t>
      </w:r>
    </w:p>
    <w:p w:rsidR="007F0910" w:rsidRPr="00906B26" w:rsidRDefault="007E3033" w:rsidP="00906B26">
      <w:pPr>
        <w:ind w:firstLineChars="200" w:firstLine="420"/>
        <w:jc w:val="left"/>
        <w:rPr>
          <w:rFonts w:ascii="宋体" w:eastAsia="宋体" w:hAnsi="宋体" w:hint="eastAsia"/>
          <w:szCs w:val="21"/>
        </w:rPr>
      </w:pPr>
      <w:r>
        <w:rPr>
          <w:rFonts w:ascii="宋体" w:eastAsia="宋体" w:hAnsi="宋体" w:hint="eastAsia"/>
          <w:szCs w:val="21"/>
        </w:rPr>
        <w:t>（开标时授权委托人需携带身份证原件）</w:t>
      </w:r>
    </w:p>
    <w:sectPr w:rsidR="007F0910" w:rsidRPr="00906B26">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B8C" w:rsidRDefault="00EC2B8C">
      <w:r>
        <w:separator/>
      </w:r>
    </w:p>
  </w:endnote>
  <w:endnote w:type="continuationSeparator" w:id="0">
    <w:p w:rsidR="00EC2B8C" w:rsidRDefault="00EC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470279" w:rsidRDefault="00470279">
        <w:pPr>
          <w:pStyle w:val="a4"/>
          <w:jc w:val="center"/>
        </w:pPr>
        <w:r>
          <w:fldChar w:fldCharType="begin"/>
        </w:r>
        <w:r>
          <w:instrText>PAGE   \* MERGEFORMAT</w:instrText>
        </w:r>
        <w:r>
          <w:fldChar w:fldCharType="separate"/>
        </w:r>
        <w:r>
          <w:rPr>
            <w:lang w:val="zh-CN"/>
          </w:rPr>
          <w:t>2</w:t>
        </w:r>
        <w:r>
          <w:fldChar w:fldCharType="end"/>
        </w:r>
      </w:p>
    </w:sdtContent>
  </w:sdt>
  <w:p w:rsidR="00470279" w:rsidRDefault="004702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B8C" w:rsidRDefault="00EC2B8C">
      <w:r>
        <w:separator/>
      </w:r>
    </w:p>
  </w:footnote>
  <w:footnote w:type="continuationSeparator" w:id="0">
    <w:p w:rsidR="00EC2B8C" w:rsidRDefault="00EC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71C9"/>
    <w:rsid w:val="0002789D"/>
    <w:rsid w:val="00032ACC"/>
    <w:rsid w:val="0003581C"/>
    <w:rsid w:val="00035A63"/>
    <w:rsid w:val="0004578F"/>
    <w:rsid w:val="000543B7"/>
    <w:rsid w:val="00064290"/>
    <w:rsid w:val="000742AE"/>
    <w:rsid w:val="000C5ABC"/>
    <w:rsid w:val="00102DEC"/>
    <w:rsid w:val="00107768"/>
    <w:rsid w:val="00115C02"/>
    <w:rsid w:val="00117426"/>
    <w:rsid w:val="00120409"/>
    <w:rsid w:val="00137165"/>
    <w:rsid w:val="0014064E"/>
    <w:rsid w:val="001711FC"/>
    <w:rsid w:val="00186F83"/>
    <w:rsid w:val="00187637"/>
    <w:rsid w:val="00193F43"/>
    <w:rsid w:val="001B6610"/>
    <w:rsid w:val="001B67CD"/>
    <w:rsid w:val="001C268B"/>
    <w:rsid w:val="001C36B9"/>
    <w:rsid w:val="001E2523"/>
    <w:rsid w:val="001E74DA"/>
    <w:rsid w:val="001E7684"/>
    <w:rsid w:val="00212F17"/>
    <w:rsid w:val="00215C80"/>
    <w:rsid w:val="0022198F"/>
    <w:rsid w:val="0022794A"/>
    <w:rsid w:val="00232321"/>
    <w:rsid w:val="00236F1E"/>
    <w:rsid w:val="00236FD4"/>
    <w:rsid w:val="0024172A"/>
    <w:rsid w:val="002442DF"/>
    <w:rsid w:val="00246BB3"/>
    <w:rsid w:val="00260DDA"/>
    <w:rsid w:val="0026231B"/>
    <w:rsid w:val="002858F1"/>
    <w:rsid w:val="002952DD"/>
    <w:rsid w:val="002A6BCB"/>
    <w:rsid w:val="002C17F2"/>
    <w:rsid w:val="002C2538"/>
    <w:rsid w:val="002F3869"/>
    <w:rsid w:val="002F5B2E"/>
    <w:rsid w:val="00321B34"/>
    <w:rsid w:val="00330EE4"/>
    <w:rsid w:val="00336BE2"/>
    <w:rsid w:val="003441B5"/>
    <w:rsid w:val="00363104"/>
    <w:rsid w:val="0038092F"/>
    <w:rsid w:val="003831F6"/>
    <w:rsid w:val="003B3290"/>
    <w:rsid w:val="003C5B06"/>
    <w:rsid w:val="003D225B"/>
    <w:rsid w:val="003E74E8"/>
    <w:rsid w:val="003F5A3D"/>
    <w:rsid w:val="0040458D"/>
    <w:rsid w:val="004067B3"/>
    <w:rsid w:val="00416DF9"/>
    <w:rsid w:val="00445753"/>
    <w:rsid w:val="004472BC"/>
    <w:rsid w:val="00460FE2"/>
    <w:rsid w:val="0046485F"/>
    <w:rsid w:val="004660C5"/>
    <w:rsid w:val="004674F1"/>
    <w:rsid w:val="00470279"/>
    <w:rsid w:val="0048149E"/>
    <w:rsid w:val="00484A06"/>
    <w:rsid w:val="00493E3E"/>
    <w:rsid w:val="00495500"/>
    <w:rsid w:val="004A2E39"/>
    <w:rsid w:val="004A3A1C"/>
    <w:rsid w:val="004B00F1"/>
    <w:rsid w:val="004B75F6"/>
    <w:rsid w:val="004C53DA"/>
    <w:rsid w:val="004C6CE4"/>
    <w:rsid w:val="004D050B"/>
    <w:rsid w:val="004E1767"/>
    <w:rsid w:val="004E4039"/>
    <w:rsid w:val="004F387B"/>
    <w:rsid w:val="004F5E22"/>
    <w:rsid w:val="004F63A7"/>
    <w:rsid w:val="0050352C"/>
    <w:rsid w:val="00521C12"/>
    <w:rsid w:val="005263CC"/>
    <w:rsid w:val="005377C3"/>
    <w:rsid w:val="00541CE8"/>
    <w:rsid w:val="005453F1"/>
    <w:rsid w:val="00547010"/>
    <w:rsid w:val="00563DAB"/>
    <w:rsid w:val="005735B1"/>
    <w:rsid w:val="00583699"/>
    <w:rsid w:val="00585B3A"/>
    <w:rsid w:val="00585E1D"/>
    <w:rsid w:val="00595D04"/>
    <w:rsid w:val="005A0E15"/>
    <w:rsid w:val="005A14BD"/>
    <w:rsid w:val="005A350C"/>
    <w:rsid w:val="005B1D84"/>
    <w:rsid w:val="005C6052"/>
    <w:rsid w:val="005D04A5"/>
    <w:rsid w:val="005D1B6B"/>
    <w:rsid w:val="005D7D22"/>
    <w:rsid w:val="005F12B1"/>
    <w:rsid w:val="005F16BC"/>
    <w:rsid w:val="00610135"/>
    <w:rsid w:val="00612C52"/>
    <w:rsid w:val="006166F5"/>
    <w:rsid w:val="00620B9F"/>
    <w:rsid w:val="00621327"/>
    <w:rsid w:val="00630DEC"/>
    <w:rsid w:val="00637C79"/>
    <w:rsid w:val="006401D5"/>
    <w:rsid w:val="00640259"/>
    <w:rsid w:val="00640332"/>
    <w:rsid w:val="006427E6"/>
    <w:rsid w:val="00643684"/>
    <w:rsid w:val="00645464"/>
    <w:rsid w:val="00653E5D"/>
    <w:rsid w:val="00665C0B"/>
    <w:rsid w:val="006971E7"/>
    <w:rsid w:val="00697595"/>
    <w:rsid w:val="00697831"/>
    <w:rsid w:val="006A440D"/>
    <w:rsid w:val="006B4D40"/>
    <w:rsid w:val="006C086F"/>
    <w:rsid w:val="006C3EF6"/>
    <w:rsid w:val="006C538D"/>
    <w:rsid w:val="006C75E3"/>
    <w:rsid w:val="006E2929"/>
    <w:rsid w:val="006F19BD"/>
    <w:rsid w:val="007036A7"/>
    <w:rsid w:val="00703C94"/>
    <w:rsid w:val="00704406"/>
    <w:rsid w:val="00707D0B"/>
    <w:rsid w:val="00716864"/>
    <w:rsid w:val="00724C14"/>
    <w:rsid w:val="0073057E"/>
    <w:rsid w:val="00730F5D"/>
    <w:rsid w:val="007325D7"/>
    <w:rsid w:val="0073416A"/>
    <w:rsid w:val="007424E0"/>
    <w:rsid w:val="00756DB4"/>
    <w:rsid w:val="00775D09"/>
    <w:rsid w:val="00780439"/>
    <w:rsid w:val="00782827"/>
    <w:rsid w:val="00797539"/>
    <w:rsid w:val="007B2A24"/>
    <w:rsid w:val="007B4B78"/>
    <w:rsid w:val="007C42BB"/>
    <w:rsid w:val="007C4320"/>
    <w:rsid w:val="007C5B45"/>
    <w:rsid w:val="007E3033"/>
    <w:rsid w:val="007F0910"/>
    <w:rsid w:val="007F2D82"/>
    <w:rsid w:val="008032A4"/>
    <w:rsid w:val="00806343"/>
    <w:rsid w:val="00814BE2"/>
    <w:rsid w:val="00814F7D"/>
    <w:rsid w:val="008257F9"/>
    <w:rsid w:val="00831B38"/>
    <w:rsid w:val="00832E65"/>
    <w:rsid w:val="00841AA3"/>
    <w:rsid w:val="0085475B"/>
    <w:rsid w:val="00861AD0"/>
    <w:rsid w:val="0086679D"/>
    <w:rsid w:val="0087756E"/>
    <w:rsid w:val="0088470B"/>
    <w:rsid w:val="00890D8F"/>
    <w:rsid w:val="00892766"/>
    <w:rsid w:val="008A1171"/>
    <w:rsid w:val="008A3E8A"/>
    <w:rsid w:val="008A548F"/>
    <w:rsid w:val="008B792D"/>
    <w:rsid w:val="008C5CF1"/>
    <w:rsid w:val="008D3B31"/>
    <w:rsid w:val="008F41D7"/>
    <w:rsid w:val="00906B26"/>
    <w:rsid w:val="00910266"/>
    <w:rsid w:val="0094393A"/>
    <w:rsid w:val="00945FE1"/>
    <w:rsid w:val="00946857"/>
    <w:rsid w:val="0095017D"/>
    <w:rsid w:val="009533DE"/>
    <w:rsid w:val="009536F7"/>
    <w:rsid w:val="00962003"/>
    <w:rsid w:val="009623CC"/>
    <w:rsid w:val="0097691C"/>
    <w:rsid w:val="00990D35"/>
    <w:rsid w:val="00994433"/>
    <w:rsid w:val="00996FDF"/>
    <w:rsid w:val="009A796F"/>
    <w:rsid w:val="009B40EF"/>
    <w:rsid w:val="009B69D9"/>
    <w:rsid w:val="009B729F"/>
    <w:rsid w:val="009C1A22"/>
    <w:rsid w:val="009C5D7A"/>
    <w:rsid w:val="009D0EB6"/>
    <w:rsid w:val="009E15C3"/>
    <w:rsid w:val="009E79DD"/>
    <w:rsid w:val="009F38CB"/>
    <w:rsid w:val="00A130BB"/>
    <w:rsid w:val="00A312B5"/>
    <w:rsid w:val="00A31442"/>
    <w:rsid w:val="00A35785"/>
    <w:rsid w:val="00A45E9B"/>
    <w:rsid w:val="00A62085"/>
    <w:rsid w:val="00A65802"/>
    <w:rsid w:val="00A66966"/>
    <w:rsid w:val="00A718B5"/>
    <w:rsid w:val="00A71C15"/>
    <w:rsid w:val="00A8717D"/>
    <w:rsid w:val="00AA350D"/>
    <w:rsid w:val="00AB72A0"/>
    <w:rsid w:val="00AD0187"/>
    <w:rsid w:val="00AD037B"/>
    <w:rsid w:val="00AD10CE"/>
    <w:rsid w:val="00AD17D9"/>
    <w:rsid w:val="00AD3187"/>
    <w:rsid w:val="00AD57C4"/>
    <w:rsid w:val="00AF0172"/>
    <w:rsid w:val="00AF6230"/>
    <w:rsid w:val="00B016D1"/>
    <w:rsid w:val="00B10527"/>
    <w:rsid w:val="00B10A5B"/>
    <w:rsid w:val="00B11E88"/>
    <w:rsid w:val="00B22393"/>
    <w:rsid w:val="00B24624"/>
    <w:rsid w:val="00B30530"/>
    <w:rsid w:val="00B343E0"/>
    <w:rsid w:val="00B352C8"/>
    <w:rsid w:val="00B4164D"/>
    <w:rsid w:val="00B53550"/>
    <w:rsid w:val="00B60D06"/>
    <w:rsid w:val="00B7097D"/>
    <w:rsid w:val="00B74DE7"/>
    <w:rsid w:val="00B76B33"/>
    <w:rsid w:val="00B80F6D"/>
    <w:rsid w:val="00B81D93"/>
    <w:rsid w:val="00B82142"/>
    <w:rsid w:val="00B850B7"/>
    <w:rsid w:val="00BA38C4"/>
    <w:rsid w:val="00BB3909"/>
    <w:rsid w:val="00BC0646"/>
    <w:rsid w:val="00BC1CBD"/>
    <w:rsid w:val="00BC78AD"/>
    <w:rsid w:val="00BF04E3"/>
    <w:rsid w:val="00BF2E37"/>
    <w:rsid w:val="00BF6611"/>
    <w:rsid w:val="00C03123"/>
    <w:rsid w:val="00C039B5"/>
    <w:rsid w:val="00C05D8A"/>
    <w:rsid w:val="00C07635"/>
    <w:rsid w:val="00C1644E"/>
    <w:rsid w:val="00C3020F"/>
    <w:rsid w:val="00C31D45"/>
    <w:rsid w:val="00C3372C"/>
    <w:rsid w:val="00C40559"/>
    <w:rsid w:val="00C44AE2"/>
    <w:rsid w:val="00C501B5"/>
    <w:rsid w:val="00C731D7"/>
    <w:rsid w:val="00C76EAC"/>
    <w:rsid w:val="00C77842"/>
    <w:rsid w:val="00C8379E"/>
    <w:rsid w:val="00C84C79"/>
    <w:rsid w:val="00CA54A3"/>
    <w:rsid w:val="00CA5850"/>
    <w:rsid w:val="00CB0272"/>
    <w:rsid w:val="00CC0CBD"/>
    <w:rsid w:val="00CC6AFA"/>
    <w:rsid w:val="00CD2FC9"/>
    <w:rsid w:val="00CD77CE"/>
    <w:rsid w:val="00CF04B9"/>
    <w:rsid w:val="00CF358D"/>
    <w:rsid w:val="00CF46E7"/>
    <w:rsid w:val="00D04DB2"/>
    <w:rsid w:val="00D1378B"/>
    <w:rsid w:val="00D169D8"/>
    <w:rsid w:val="00D318F7"/>
    <w:rsid w:val="00D32B5A"/>
    <w:rsid w:val="00D569E7"/>
    <w:rsid w:val="00D61981"/>
    <w:rsid w:val="00D636DA"/>
    <w:rsid w:val="00D72ABD"/>
    <w:rsid w:val="00D81395"/>
    <w:rsid w:val="00D919EF"/>
    <w:rsid w:val="00DC1F43"/>
    <w:rsid w:val="00DD0A3D"/>
    <w:rsid w:val="00DD1EAC"/>
    <w:rsid w:val="00DE7687"/>
    <w:rsid w:val="00DF1414"/>
    <w:rsid w:val="00E01DEB"/>
    <w:rsid w:val="00E06DDE"/>
    <w:rsid w:val="00E10CEA"/>
    <w:rsid w:val="00E11D6C"/>
    <w:rsid w:val="00E14F86"/>
    <w:rsid w:val="00E16405"/>
    <w:rsid w:val="00E20EBD"/>
    <w:rsid w:val="00E330ED"/>
    <w:rsid w:val="00E5130D"/>
    <w:rsid w:val="00E527A5"/>
    <w:rsid w:val="00E60023"/>
    <w:rsid w:val="00E60126"/>
    <w:rsid w:val="00E65800"/>
    <w:rsid w:val="00E7421E"/>
    <w:rsid w:val="00E77497"/>
    <w:rsid w:val="00E77D53"/>
    <w:rsid w:val="00E81DA2"/>
    <w:rsid w:val="00E908E7"/>
    <w:rsid w:val="00E9108F"/>
    <w:rsid w:val="00EA7669"/>
    <w:rsid w:val="00EC2B8C"/>
    <w:rsid w:val="00EC70B0"/>
    <w:rsid w:val="00ED3071"/>
    <w:rsid w:val="00EE2845"/>
    <w:rsid w:val="00F12DD1"/>
    <w:rsid w:val="00F1332B"/>
    <w:rsid w:val="00F146FD"/>
    <w:rsid w:val="00F154F9"/>
    <w:rsid w:val="00F211DD"/>
    <w:rsid w:val="00F24810"/>
    <w:rsid w:val="00F52CCF"/>
    <w:rsid w:val="00F52DD6"/>
    <w:rsid w:val="00F5616E"/>
    <w:rsid w:val="00F6397B"/>
    <w:rsid w:val="00F73DB9"/>
    <w:rsid w:val="00F76F95"/>
    <w:rsid w:val="00F941A8"/>
    <w:rsid w:val="00FA6DCF"/>
    <w:rsid w:val="00FA7037"/>
    <w:rsid w:val="00FD1D46"/>
    <w:rsid w:val="00FD22C6"/>
    <w:rsid w:val="00FD4F84"/>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944D04"/>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6694">
      <w:bodyDiv w:val="1"/>
      <w:marLeft w:val="0"/>
      <w:marRight w:val="0"/>
      <w:marTop w:val="0"/>
      <w:marBottom w:val="0"/>
      <w:divBdr>
        <w:top w:val="none" w:sz="0" w:space="0" w:color="auto"/>
        <w:left w:val="none" w:sz="0" w:space="0" w:color="auto"/>
        <w:bottom w:val="none" w:sz="0" w:space="0" w:color="auto"/>
        <w:right w:val="none" w:sz="0" w:space="0" w:color="auto"/>
      </w:divBdr>
    </w:div>
    <w:div w:id="388652344">
      <w:bodyDiv w:val="1"/>
      <w:marLeft w:val="0"/>
      <w:marRight w:val="0"/>
      <w:marTop w:val="0"/>
      <w:marBottom w:val="0"/>
      <w:divBdr>
        <w:top w:val="none" w:sz="0" w:space="0" w:color="auto"/>
        <w:left w:val="none" w:sz="0" w:space="0" w:color="auto"/>
        <w:bottom w:val="none" w:sz="0" w:space="0" w:color="auto"/>
        <w:right w:val="none" w:sz="0" w:space="0" w:color="auto"/>
      </w:divBdr>
    </w:div>
    <w:div w:id="569312283">
      <w:bodyDiv w:val="1"/>
      <w:marLeft w:val="0"/>
      <w:marRight w:val="0"/>
      <w:marTop w:val="0"/>
      <w:marBottom w:val="0"/>
      <w:divBdr>
        <w:top w:val="none" w:sz="0" w:space="0" w:color="auto"/>
        <w:left w:val="none" w:sz="0" w:space="0" w:color="auto"/>
        <w:bottom w:val="none" w:sz="0" w:space="0" w:color="auto"/>
        <w:right w:val="none" w:sz="0" w:space="0" w:color="auto"/>
      </w:divBdr>
    </w:div>
    <w:div w:id="957638750">
      <w:bodyDiv w:val="1"/>
      <w:marLeft w:val="0"/>
      <w:marRight w:val="0"/>
      <w:marTop w:val="0"/>
      <w:marBottom w:val="0"/>
      <w:divBdr>
        <w:top w:val="none" w:sz="0" w:space="0" w:color="auto"/>
        <w:left w:val="none" w:sz="0" w:space="0" w:color="auto"/>
        <w:bottom w:val="none" w:sz="0" w:space="0" w:color="auto"/>
        <w:right w:val="none" w:sz="0" w:space="0" w:color="auto"/>
      </w:divBdr>
    </w:div>
    <w:div w:id="999965885">
      <w:bodyDiv w:val="1"/>
      <w:marLeft w:val="0"/>
      <w:marRight w:val="0"/>
      <w:marTop w:val="0"/>
      <w:marBottom w:val="0"/>
      <w:divBdr>
        <w:top w:val="none" w:sz="0" w:space="0" w:color="auto"/>
        <w:left w:val="none" w:sz="0" w:space="0" w:color="auto"/>
        <w:bottom w:val="none" w:sz="0" w:space="0" w:color="auto"/>
        <w:right w:val="none" w:sz="0" w:space="0" w:color="auto"/>
      </w:divBdr>
    </w:div>
    <w:div w:id="1179737068">
      <w:bodyDiv w:val="1"/>
      <w:marLeft w:val="0"/>
      <w:marRight w:val="0"/>
      <w:marTop w:val="0"/>
      <w:marBottom w:val="0"/>
      <w:divBdr>
        <w:top w:val="none" w:sz="0" w:space="0" w:color="auto"/>
        <w:left w:val="none" w:sz="0" w:space="0" w:color="auto"/>
        <w:bottom w:val="none" w:sz="0" w:space="0" w:color="auto"/>
        <w:right w:val="none" w:sz="0" w:space="0" w:color="auto"/>
      </w:divBdr>
    </w:div>
    <w:div w:id="1216162288">
      <w:bodyDiv w:val="1"/>
      <w:marLeft w:val="0"/>
      <w:marRight w:val="0"/>
      <w:marTop w:val="0"/>
      <w:marBottom w:val="0"/>
      <w:divBdr>
        <w:top w:val="none" w:sz="0" w:space="0" w:color="auto"/>
        <w:left w:val="none" w:sz="0" w:space="0" w:color="auto"/>
        <w:bottom w:val="none" w:sz="0" w:space="0" w:color="auto"/>
        <w:right w:val="none" w:sz="0" w:space="0" w:color="auto"/>
      </w:divBdr>
    </w:div>
    <w:div w:id="1939630388">
      <w:bodyDiv w:val="1"/>
      <w:marLeft w:val="0"/>
      <w:marRight w:val="0"/>
      <w:marTop w:val="0"/>
      <w:marBottom w:val="0"/>
      <w:divBdr>
        <w:top w:val="none" w:sz="0" w:space="0" w:color="auto"/>
        <w:left w:val="none" w:sz="0" w:space="0" w:color="auto"/>
        <w:bottom w:val="none" w:sz="0" w:space="0" w:color="auto"/>
        <w:right w:val="none" w:sz="0" w:space="0" w:color="auto"/>
      </w:divBdr>
    </w:div>
    <w:div w:id="198812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06AD-8A9F-4631-97AD-8626710F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9</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李超然</dc:creator>
  <cp:lastModifiedBy>李超然</cp:lastModifiedBy>
  <cp:revision>150</cp:revision>
  <cp:lastPrinted>2024-07-11T00:34:00Z</cp:lastPrinted>
  <dcterms:created xsi:type="dcterms:W3CDTF">2024-07-03T07:09:00Z</dcterms:created>
  <dcterms:modified xsi:type="dcterms:W3CDTF">2025-11-27T09:41:00Z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