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r w:rsidR="003B6DC3">
        <w:rPr>
          <w:rFonts w:asciiTheme="minorEastAsia" w:eastAsiaTheme="minorEastAsia" w:hAnsiTheme="minorEastAsia" w:hint="eastAsia"/>
          <w:color w:val="000000"/>
          <w:szCs w:val="21"/>
        </w:rPr>
        <w:t>招标</w:t>
      </w:r>
      <w:r w:rsidR="003B6DC3">
        <w:rPr>
          <w:rFonts w:asciiTheme="minorEastAsia" w:eastAsiaTheme="minorEastAsia" w:hAnsiTheme="minorEastAsia"/>
          <w:color w:val="000000"/>
          <w:szCs w:val="21"/>
        </w:rPr>
        <w:t>采购中心</w:t>
      </w:r>
      <w:r w:rsidR="00752A13" w:rsidRPr="00196FAE">
        <w:rPr>
          <w:rFonts w:asciiTheme="minorEastAsia" w:eastAsiaTheme="minorEastAsia" w:hAnsiTheme="minorEastAsia" w:hint="eastAsia"/>
          <w:color w:val="000000"/>
          <w:szCs w:val="21"/>
        </w:rPr>
        <w:t>拟对</w:t>
      </w:r>
      <w:r w:rsidR="0014573C" w:rsidRPr="0014573C">
        <w:rPr>
          <w:rFonts w:ascii="宋体" w:hAnsi="宋体" w:cs="Arial" w:hint="eastAsia"/>
          <w:szCs w:val="21"/>
        </w:rPr>
        <w:t>高速低温离心机</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r w:rsidR="00C43CEF">
        <w:rPr>
          <w:rFonts w:asciiTheme="minorEastAsia" w:eastAsiaTheme="minorEastAsia" w:hAnsiTheme="minorEastAsia" w:hint="eastAsia"/>
          <w:color w:val="000000"/>
          <w:szCs w:val="21"/>
        </w:rPr>
        <w:t>如下</w:t>
      </w:r>
      <w:r w:rsidR="00C43CEF">
        <w:rPr>
          <w:rFonts w:asciiTheme="minorEastAsia" w:eastAsiaTheme="minorEastAsia" w:hAnsiTheme="minorEastAsia"/>
          <w:color w:val="000000"/>
          <w:szCs w:val="21"/>
        </w:rPr>
        <w:t>：</w:t>
      </w:r>
    </w:p>
    <w:p w:rsidR="00A37439" w:rsidRDefault="00A37439" w:rsidP="00A37439">
      <w:pPr>
        <w:widowControl/>
        <w:spacing w:line="480" w:lineRule="exact"/>
        <w:jc w:val="center"/>
        <w:rPr>
          <w:rFonts w:ascii="宋体" w:hAnsi="宋体" w:cs="宋体"/>
          <w:kern w:val="0"/>
          <w:sz w:val="24"/>
        </w:rPr>
      </w:pPr>
    </w:p>
    <w:p w:rsidR="0014573C" w:rsidRPr="000F454C" w:rsidRDefault="0014573C" w:rsidP="0014573C">
      <w:pPr>
        <w:pStyle w:val="a6"/>
        <w:numPr>
          <w:ilvl w:val="0"/>
          <w:numId w:val="23"/>
        </w:numPr>
        <w:ind w:firstLineChars="0"/>
        <w:jc w:val="left"/>
        <w:rPr>
          <w:rFonts w:ascii="宋体" w:hAnsi="宋体"/>
          <w:sz w:val="24"/>
          <w:szCs w:val="24"/>
        </w:rPr>
      </w:pPr>
      <w:r>
        <w:rPr>
          <w:rFonts w:ascii="宋体" w:hAnsi="宋体" w:hint="eastAsia"/>
          <w:sz w:val="24"/>
          <w:szCs w:val="24"/>
        </w:rPr>
        <w:t>可实现</w:t>
      </w:r>
      <w:r w:rsidRPr="000F454C">
        <w:rPr>
          <w:rFonts w:ascii="宋体" w:hAnsi="宋体"/>
          <w:sz w:val="24"/>
          <w:szCs w:val="24"/>
        </w:rPr>
        <w:t>最高转速：</w:t>
      </w:r>
      <w:r w:rsidRPr="000F454C">
        <w:rPr>
          <w:rFonts w:ascii="宋体" w:hAnsi="宋体" w:hint="eastAsia"/>
          <w:sz w:val="24"/>
          <w:szCs w:val="24"/>
        </w:rPr>
        <w:t>≥</w:t>
      </w:r>
      <w:r w:rsidRPr="000F454C">
        <w:rPr>
          <w:rFonts w:ascii="宋体" w:hAnsi="宋体"/>
          <w:sz w:val="24"/>
          <w:szCs w:val="24"/>
        </w:rPr>
        <w:t>15,</w:t>
      </w:r>
      <w:r>
        <w:rPr>
          <w:rFonts w:ascii="宋体" w:hAnsi="宋体"/>
          <w:sz w:val="24"/>
          <w:szCs w:val="24"/>
        </w:rPr>
        <w:t>0</w:t>
      </w:r>
      <w:r w:rsidRPr="000F454C">
        <w:rPr>
          <w:rFonts w:ascii="宋体" w:hAnsi="宋体"/>
          <w:sz w:val="24"/>
          <w:szCs w:val="24"/>
        </w:rPr>
        <w:t>00转/</w:t>
      </w:r>
      <w:r w:rsidRPr="000F454C">
        <w:rPr>
          <w:rFonts w:ascii="宋体" w:hAnsi="宋体" w:hint="eastAsia"/>
          <w:sz w:val="24"/>
          <w:szCs w:val="24"/>
        </w:rPr>
        <w:t>分钟</w:t>
      </w:r>
      <w:r w:rsidRPr="000F454C">
        <w:rPr>
          <w:rFonts w:ascii="宋体" w:hAnsi="宋体"/>
          <w:sz w:val="24"/>
          <w:szCs w:val="24"/>
        </w:rPr>
        <w:t>；</w:t>
      </w:r>
    </w:p>
    <w:p w:rsidR="0014573C" w:rsidRPr="000F454C" w:rsidRDefault="0014573C" w:rsidP="0014573C">
      <w:pPr>
        <w:pStyle w:val="a6"/>
        <w:numPr>
          <w:ilvl w:val="0"/>
          <w:numId w:val="23"/>
        </w:numPr>
        <w:ind w:firstLineChars="0"/>
        <w:jc w:val="left"/>
        <w:rPr>
          <w:rFonts w:ascii="宋体" w:hAnsi="宋体"/>
          <w:sz w:val="24"/>
          <w:szCs w:val="24"/>
        </w:rPr>
      </w:pPr>
      <w:r>
        <w:rPr>
          <w:rFonts w:ascii="宋体" w:hAnsi="宋体" w:hint="eastAsia"/>
          <w:sz w:val="24"/>
          <w:szCs w:val="24"/>
        </w:rPr>
        <w:t>可实现</w:t>
      </w:r>
      <w:r w:rsidRPr="000F454C">
        <w:rPr>
          <w:rFonts w:ascii="宋体" w:hAnsi="宋体" w:hint="eastAsia"/>
          <w:sz w:val="24"/>
          <w:szCs w:val="24"/>
        </w:rPr>
        <w:t>最大离心力：≥</w:t>
      </w:r>
      <w:r w:rsidRPr="000F454C">
        <w:rPr>
          <w:rFonts w:ascii="宋体" w:hAnsi="宋体"/>
          <w:sz w:val="24"/>
          <w:szCs w:val="24"/>
        </w:rPr>
        <w:t>25,8</w:t>
      </w:r>
      <w:r>
        <w:rPr>
          <w:rFonts w:ascii="宋体" w:hAnsi="宋体"/>
          <w:sz w:val="24"/>
          <w:szCs w:val="24"/>
        </w:rPr>
        <w:t>0</w:t>
      </w:r>
      <w:r w:rsidRPr="000F454C">
        <w:rPr>
          <w:rFonts w:ascii="宋体" w:hAnsi="宋体"/>
          <w:sz w:val="24"/>
          <w:szCs w:val="24"/>
        </w:rPr>
        <w:t>0×g；</w:t>
      </w:r>
    </w:p>
    <w:p w:rsidR="0014573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w:t>
      </w:r>
      <w:r>
        <w:rPr>
          <w:rFonts w:ascii="宋体" w:hAnsi="宋体" w:hint="eastAsia"/>
          <w:sz w:val="24"/>
          <w:szCs w:val="24"/>
        </w:rPr>
        <w:t>可实现</w:t>
      </w:r>
      <w:r w:rsidRPr="000F454C">
        <w:rPr>
          <w:rFonts w:ascii="宋体" w:hAnsi="宋体" w:hint="eastAsia"/>
          <w:sz w:val="24"/>
          <w:szCs w:val="24"/>
        </w:rPr>
        <w:t>最大离心容量：≥</w:t>
      </w:r>
      <w:r w:rsidRPr="000F454C">
        <w:rPr>
          <w:rFonts w:ascii="宋体" w:hAnsi="宋体"/>
          <w:sz w:val="24"/>
          <w:szCs w:val="24"/>
        </w:rPr>
        <w:t>4×400ml；</w:t>
      </w:r>
    </w:p>
    <w:p w:rsidR="0014573C" w:rsidRPr="000F454C" w:rsidRDefault="0014573C" w:rsidP="0014573C">
      <w:pPr>
        <w:pStyle w:val="a6"/>
        <w:numPr>
          <w:ilvl w:val="0"/>
          <w:numId w:val="23"/>
        </w:numPr>
        <w:ind w:firstLineChars="0"/>
        <w:jc w:val="left"/>
        <w:rPr>
          <w:rFonts w:ascii="宋体" w:hAnsi="宋体"/>
          <w:sz w:val="24"/>
          <w:szCs w:val="24"/>
        </w:rPr>
      </w:pPr>
      <w:r>
        <w:rPr>
          <w:rFonts w:ascii="宋体" w:hAnsi="宋体" w:hint="eastAsia"/>
          <w:sz w:val="24"/>
          <w:szCs w:val="24"/>
        </w:rPr>
        <w:t>水平转头，可实现最高转速：≥</w:t>
      </w:r>
      <w:r>
        <w:rPr>
          <w:rFonts w:ascii="宋体" w:hAnsi="宋体"/>
          <w:sz w:val="24"/>
          <w:szCs w:val="24"/>
        </w:rPr>
        <w:t xml:space="preserve"> 4700</w:t>
      </w:r>
      <w:r w:rsidRPr="000F454C">
        <w:rPr>
          <w:rFonts w:ascii="宋体" w:hAnsi="宋体"/>
          <w:sz w:val="24"/>
          <w:szCs w:val="24"/>
        </w:rPr>
        <w:t>转/</w:t>
      </w:r>
      <w:r w:rsidRPr="000F454C">
        <w:rPr>
          <w:rFonts w:ascii="宋体" w:hAnsi="宋体" w:hint="eastAsia"/>
          <w:sz w:val="24"/>
          <w:szCs w:val="24"/>
        </w:rPr>
        <w:t>分钟</w:t>
      </w:r>
      <w:r w:rsidRPr="000F454C">
        <w:rPr>
          <w:rFonts w:ascii="宋体" w:hAnsi="宋体"/>
          <w:sz w:val="24"/>
          <w:szCs w:val="24"/>
        </w:rPr>
        <w:t>；</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重量：</w:t>
      </w:r>
      <w:r>
        <w:rPr>
          <w:rFonts w:ascii="宋体" w:hAnsi="宋体" w:hint="eastAsia"/>
          <w:sz w:val="24"/>
          <w:szCs w:val="24"/>
        </w:rPr>
        <w:t xml:space="preserve">≤ </w:t>
      </w:r>
      <w:r w:rsidRPr="000F454C">
        <w:rPr>
          <w:rFonts w:ascii="宋体" w:hAnsi="宋体"/>
          <w:sz w:val="24"/>
          <w:szCs w:val="24"/>
        </w:rPr>
        <w:t>100 Kg；</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噪音：</w:t>
      </w:r>
      <w:r w:rsidRPr="000F454C">
        <w:rPr>
          <w:rFonts w:ascii="宋体" w:hAnsi="宋体"/>
          <w:sz w:val="24"/>
          <w:szCs w:val="24"/>
        </w:rPr>
        <w:t>≤ 55 dB</w:t>
      </w:r>
      <w:r>
        <w:rPr>
          <w:rFonts w:ascii="宋体" w:hAnsi="宋体" w:hint="eastAsia"/>
          <w:sz w:val="24"/>
          <w:szCs w:val="24"/>
        </w:rPr>
        <w:t>；</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快捷程序</w:t>
      </w:r>
      <w:r>
        <w:rPr>
          <w:rFonts w:ascii="宋体" w:hAnsi="宋体" w:hint="eastAsia"/>
          <w:sz w:val="24"/>
          <w:szCs w:val="24"/>
        </w:rPr>
        <w:t>：≥</w:t>
      </w:r>
      <w:r>
        <w:rPr>
          <w:rFonts w:ascii="宋体" w:hAnsi="宋体"/>
          <w:sz w:val="24"/>
          <w:szCs w:val="24"/>
        </w:rPr>
        <w:t>6</w:t>
      </w:r>
      <w:r w:rsidRPr="000F454C">
        <w:rPr>
          <w:rFonts w:ascii="宋体" w:hAnsi="宋体"/>
          <w:sz w:val="24"/>
          <w:szCs w:val="24"/>
        </w:rPr>
        <w:t>个；</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sz w:val="24"/>
          <w:szCs w:val="24"/>
        </w:rPr>
        <w:t>生物安全转头</w:t>
      </w:r>
      <w:r>
        <w:rPr>
          <w:rFonts w:ascii="宋体" w:hAnsi="宋体" w:hint="eastAsia"/>
          <w:sz w:val="24"/>
          <w:szCs w:val="24"/>
        </w:rPr>
        <w:t>；</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加速</w:t>
      </w:r>
      <w:r w:rsidRPr="000F454C">
        <w:rPr>
          <w:rFonts w:ascii="宋体" w:hAnsi="宋体"/>
          <w:sz w:val="24"/>
          <w:szCs w:val="24"/>
        </w:rPr>
        <w:t>/减速</w:t>
      </w:r>
      <w:r w:rsidRPr="000F454C">
        <w:rPr>
          <w:rFonts w:ascii="宋体" w:hAnsi="宋体" w:hint="eastAsia"/>
          <w:sz w:val="24"/>
          <w:szCs w:val="24"/>
        </w:rPr>
        <w:t>挡</w:t>
      </w:r>
      <w:r>
        <w:rPr>
          <w:rFonts w:ascii="宋体" w:hAnsi="宋体" w:hint="eastAsia"/>
          <w:sz w:val="24"/>
          <w:szCs w:val="24"/>
        </w:rPr>
        <w:t>数量</w:t>
      </w:r>
      <w:r w:rsidRPr="000F454C">
        <w:rPr>
          <w:rFonts w:ascii="宋体" w:hAnsi="宋体"/>
          <w:sz w:val="24"/>
          <w:szCs w:val="24"/>
        </w:rPr>
        <w:t>：9加速/10减速；</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温度设定范围：</w:t>
      </w:r>
      <w:r w:rsidRPr="000F454C">
        <w:rPr>
          <w:rFonts w:ascii="宋体" w:hAnsi="宋体"/>
          <w:sz w:val="24"/>
          <w:szCs w:val="24"/>
        </w:rPr>
        <w:t>-10℃至﹢40</w:t>
      </w:r>
      <w:r w:rsidRPr="000F454C">
        <w:rPr>
          <w:rFonts w:ascii="宋体" w:hAnsi="宋体" w:hint="eastAsia"/>
          <w:sz w:val="24"/>
          <w:szCs w:val="24"/>
        </w:rPr>
        <w:t>℃</w:t>
      </w:r>
      <w:r>
        <w:rPr>
          <w:rFonts w:ascii="宋体" w:hAnsi="宋体" w:hint="eastAsia"/>
          <w:sz w:val="24"/>
          <w:szCs w:val="24"/>
        </w:rPr>
        <w:t>；</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运行时间：</w:t>
      </w:r>
      <w:r w:rsidRPr="000F454C">
        <w:rPr>
          <w:rFonts w:ascii="宋体" w:hAnsi="宋体"/>
          <w:sz w:val="24"/>
          <w:szCs w:val="24"/>
        </w:rPr>
        <w:t>0</w:t>
      </w:r>
      <w:r w:rsidRPr="000F454C">
        <w:rPr>
          <w:rFonts w:ascii="宋体" w:hAnsi="宋体" w:hint="eastAsia"/>
          <w:sz w:val="24"/>
          <w:szCs w:val="24"/>
        </w:rPr>
        <w:t>至</w:t>
      </w:r>
      <w:r w:rsidRPr="000F454C">
        <w:rPr>
          <w:rFonts w:ascii="宋体" w:hAnsi="宋体"/>
          <w:sz w:val="24"/>
          <w:szCs w:val="24"/>
        </w:rPr>
        <w:t xml:space="preserve">9小时59分钟； </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sz w:val="24"/>
          <w:szCs w:val="24"/>
        </w:rPr>
        <w:t>具有瞬时离心及连续离心方式</w:t>
      </w:r>
      <w:r w:rsidRPr="000F454C">
        <w:rPr>
          <w:rFonts w:ascii="宋体" w:hAnsi="宋体" w:hint="eastAsia"/>
          <w:sz w:val="24"/>
          <w:szCs w:val="24"/>
        </w:rPr>
        <w:t>；</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具有</w:t>
      </w:r>
      <w:r w:rsidRPr="000F454C">
        <w:rPr>
          <w:rFonts w:ascii="宋体" w:hAnsi="宋体"/>
          <w:sz w:val="24"/>
          <w:szCs w:val="24"/>
        </w:rPr>
        <w:t>快捷键预冷程序</w:t>
      </w:r>
      <w:r>
        <w:rPr>
          <w:rFonts w:ascii="宋体" w:hAnsi="宋体" w:hint="eastAsia"/>
          <w:sz w:val="24"/>
          <w:szCs w:val="24"/>
        </w:rPr>
        <w:t>，室温到4℃≤</w:t>
      </w:r>
      <w:r>
        <w:rPr>
          <w:rFonts w:ascii="宋体" w:hAnsi="宋体"/>
          <w:sz w:val="24"/>
          <w:szCs w:val="24"/>
        </w:rPr>
        <w:t>15</w:t>
      </w:r>
      <w:r>
        <w:rPr>
          <w:rFonts w:ascii="宋体" w:hAnsi="宋体" w:hint="eastAsia"/>
          <w:sz w:val="24"/>
          <w:szCs w:val="24"/>
        </w:rPr>
        <w:t>分钟</w:t>
      </w:r>
      <w:r w:rsidRPr="000F454C">
        <w:rPr>
          <w:rFonts w:ascii="宋体" w:hAnsi="宋体"/>
          <w:sz w:val="24"/>
          <w:szCs w:val="24"/>
        </w:rPr>
        <w:t>；</w:t>
      </w:r>
    </w:p>
    <w:p w:rsidR="0014573C" w:rsidRPr="000F454C" w:rsidRDefault="0014573C" w:rsidP="0014573C">
      <w:pPr>
        <w:pStyle w:val="a6"/>
        <w:numPr>
          <w:ilvl w:val="0"/>
          <w:numId w:val="23"/>
        </w:numPr>
        <w:ind w:firstLineChars="0"/>
        <w:jc w:val="left"/>
        <w:rPr>
          <w:rFonts w:ascii="宋体" w:hAnsi="宋体"/>
          <w:sz w:val="24"/>
          <w:szCs w:val="24"/>
        </w:rPr>
      </w:pPr>
      <w:r>
        <w:rPr>
          <w:rFonts w:ascii="宋体" w:hAnsi="宋体" w:hint="eastAsia"/>
          <w:sz w:val="24"/>
          <w:szCs w:val="24"/>
        </w:rPr>
        <w:t>具有</w:t>
      </w:r>
      <w:r w:rsidRPr="000F454C">
        <w:rPr>
          <w:rFonts w:ascii="宋体" w:hAnsi="宋体" w:hint="eastAsia"/>
          <w:sz w:val="24"/>
          <w:szCs w:val="24"/>
        </w:rPr>
        <w:t>转头自动识别，自动锁定，不平衡保护；</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具有转头盖自锁功能</w:t>
      </w:r>
      <w:r>
        <w:rPr>
          <w:rFonts w:ascii="宋体" w:hAnsi="宋体" w:hint="eastAsia"/>
          <w:sz w:val="24"/>
          <w:szCs w:val="24"/>
        </w:rPr>
        <w:t>，易于装卸</w:t>
      </w:r>
      <w:r w:rsidRPr="000F454C">
        <w:rPr>
          <w:rFonts w:ascii="宋体" w:hAnsi="宋体" w:hint="eastAsia"/>
          <w:sz w:val="24"/>
          <w:szCs w:val="24"/>
        </w:rPr>
        <w:t>；</w:t>
      </w:r>
    </w:p>
    <w:p w:rsidR="0014573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具有离心结束之后自动开盖功能；</w:t>
      </w:r>
    </w:p>
    <w:p w:rsidR="0014573C" w:rsidRPr="000F454C" w:rsidRDefault="0014573C" w:rsidP="0014573C">
      <w:pPr>
        <w:pStyle w:val="a6"/>
        <w:numPr>
          <w:ilvl w:val="0"/>
          <w:numId w:val="23"/>
        </w:numPr>
        <w:ind w:firstLineChars="0"/>
        <w:jc w:val="left"/>
        <w:rPr>
          <w:rFonts w:ascii="宋体" w:hAnsi="宋体"/>
          <w:sz w:val="24"/>
          <w:szCs w:val="24"/>
        </w:rPr>
      </w:pPr>
      <w:r>
        <w:rPr>
          <w:rFonts w:ascii="宋体" w:hAnsi="宋体" w:hint="eastAsia"/>
          <w:sz w:val="24"/>
          <w:szCs w:val="24"/>
        </w:rPr>
        <w:t>控制系统能根据转头、腔体温度以及所设定转速，动态优化参数，对不平衡和加减速阶段功率自动校准，保证安全运行；</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*可以单手操作转头</w:t>
      </w:r>
      <w:r>
        <w:rPr>
          <w:rFonts w:ascii="宋体" w:hAnsi="宋体" w:hint="eastAsia"/>
          <w:sz w:val="24"/>
          <w:szCs w:val="24"/>
        </w:rPr>
        <w:t>，无需拧盖工具</w:t>
      </w:r>
      <w:r w:rsidRPr="000F454C">
        <w:rPr>
          <w:rFonts w:ascii="宋体" w:hAnsi="宋体" w:hint="eastAsia"/>
          <w:sz w:val="24"/>
          <w:szCs w:val="24"/>
        </w:rPr>
        <w:t>；</w:t>
      </w:r>
    </w:p>
    <w:p w:rsidR="0014573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w:t>
      </w:r>
      <w:r>
        <w:rPr>
          <w:rFonts w:ascii="宋体" w:hAnsi="宋体"/>
          <w:sz w:val="24"/>
          <w:szCs w:val="24"/>
        </w:rPr>
        <w:t>50</w:t>
      </w:r>
      <w:r>
        <w:rPr>
          <w:rFonts w:ascii="宋体" w:hAnsi="宋体" w:hint="eastAsia"/>
          <w:sz w:val="24"/>
          <w:szCs w:val="24"/>
        </w:rPr>
        <w:t>ml</w:t>
      </w:r>
      <w:r w:rsidRPr="000F454C">
        <w:rPr>
          <w:rFonts w:ascii="宋体" w:hAnsi="宋体"/>
          <w:sz w:val="24"/>
          <w:szCs w:val="24"/>
        </w:rPr>
        <w:t>离心管</w:t>
      </w:r>
      <w:r w:rsidRPr="000F454C">
        <w:rPr>
          <w:rFonts w:ascii="宋体" w:hAnsi="宋体" w:hint="eastAsia"/>
          <w:sz w:val="24"/>
          <w:szCs w:val="24"/>
        </w:rPr>
        <w:t>最大容量：</w:t>
      </w:r>
      <w:r>
        <w:rPr>
          <w:rFonts w:ascii="宋体" w:hAnsi="宋体" w:hint="eastAsia"/>
          <w:sz w:val="24"/>
          <w:szCs w:val="24"/>
        </w:rPr>
        <w:t>≥</w:t>
      </w:r>
      <w:r>
        <w:rPr>
          <w:rFonts w:ascii="宋体" w:hAnsi="宋体"/>
          <w:sz w:val="24"/>
          <w:szCs w:val="24"/>
        </w:rPr>
        <w:t>16</w:t>
      </w:r>
      <w:r>
        <w:rPr>
          <w:rFonts w:ascii="宋体" w:hAnsi="宋体" w:hint="eastAsia"/>
          <w:sz w:val="24"/>
          <w:szCs w:val="24"/>
        </w:rPr>
        <w:t>根；</w:t>
      </w:r>
    </w:p>
    <w:p w:rsidR="0014573C" w:rsidRPr="000F454C" w:rsidRDefault="0014573C" w:rsidP="0014573C">
      <w:pPr>
        <w:pStyle w:val="a6"/>
        <w:numPr>
          <w:ilvl w:val="0"/>
          <w:numId w:val="23"/>
        </w:numPr>
        <w:ind w:firstLineChars="0"/>
        <w:jc w:val="left"/>
        <w:rPr>
          <w:rFonts w:ascii="宋体" w:hAnsi="宋体"/>
          <w:sz w:val="24"/>
          <w:szCs w:val="24"/>
        </w:rPr>
      </w:pPr>
      <w:r>
        <w:rPr>
          <w:rFonts w:ascii="宋体" w:hAnsi="宋体" w:hint="eastAsia"/>
          <w:sz w:val="24"/>
          <w:szCs w:val="24"/>
        </w:rPr>
        <w:t>*</w:t>
      </w:r>
      <w:r>
        <w:rPr>
          <w:rFonts w:ascii="宋体" w:hAnsi="宋体"/>
          <w:sz w:val="24"/>
          <w:szCs w:val="24"/>
        </w:rPr>
        <w:t>5/7</w:t>
      </w:r>
      <w:r>
        <w:rPr>
          <w:rFonts w:ascii="宋体" w:hAnsi="宋体" w:hint="eastAsia"/>
          <w:sz w:val="24"/>
          <w:szCs w:val="24"/>
        </w:rPr>
        <w:t>ml采血管最大容量：≥</w:t>
      </w:r>
      <w:r>
        <w:rPr>
          <w:rFonts w:ascii="宋体" w:hAnsi="宋体"/>
          <w:sz w:val="24"/>
          <w:szCs w:val="24"/>
        </w:rPr>
        <w:t>76</w:t>
      </w:r>
      <w:r>
        <w:rPr>
          <w:rFonts w:ascii="宋体" w:hAnsi="宋体" w:hint="eastAsia"/>
          <w:sz w:val="24"/>
          <w:szCs w:val="24"/>
        </w:rPr>
        <w:t>根；</w:t>
      </w:r>
    </w:p>
    <w:p w:rsidR="0014573C" w:rsidRPr="000F454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具有离心结束时声音提醒功能</w:t>
      </w:r>
      <w:r>
        <w:rPr>
          <w:rFonts w:ascii="宋体" w:hAnsi="宋体" w:hint="eastAsia"/>
          <w:sz w:val="24"/>
          <w:szCs w:val="24"/>
        </w:rPr>
        <w:t>；</w:t>
      </w:r>
    </w:p>
    <w:p w:rsidR="0014573C" w:rsidRDefault="0014573C" w:rsidP="0014573C">
      <w:pPr>
        <w:pStyle w:val="a6"/>
        <w:numPr>
          <w:ilvl w:val="0"/>
          <w:numId w:val="23"/>
        </w:numPr>
        <w:ind w:firstLineChars="0"/>
        <w:jc w:val="left"/>
        <w:rPr>
          <w:rFonts w:ascii="宋体" w:hAnsi="宋体"/>
          <w:sz w:val="24"/>
          <w:szCs w:val="24"/>
        </w:rPr>
      </w:pPr>
      <w:r w:rsidRPr="000F454C">
        <w:rPr>
          <w:rFonts w:ascii="宋体" w:hAnsi="宋体" w:hint="eastAsia"/>
          <w:sz w:val="24"/>
          <w:szCs w:val="24"/>
        </w:rPr>
        <w:t>*可选配转头数≥12</w:t>
      </w:r>
      <w:r>
        <w:rPr>
          <w:rFonts w:ascii="宋体" w:hAnsi="宋体" w:hint="eastAsia"/>
          <w:sz w:val="24"/>
          <w:szCs w:val="24"/>
        </w:rPr>
        <w:t>；</w:t>
      </w:r>
    </w:p>
    <w:p w:rsidR="0014573C" w:rsidRPr="000F454C" w:rsidRDefault="0014573C" w:rsidP="0014573C">
      <w:pPr>
        <w:pStyle w:val="a6"/>
        <w:numPr>
          <w:ilvl w:val="0"/>
          <w:numId w:val="23"/>
        </w:numPr>
        <w:ind w:firstLineChars="0"/>
        <w:jc w:val="left"/>
        <w:rPr>
          <w:rFonts w:ascii="宋体" w:hAnsi="宋体"/>
          <w:sz w:val="24"/>
          <w:szCs w:val="24"/>
        </w:rPr>
      </w:pPr>
      <w:r>
        <w:rPr>
          <w:rFonts w:ascii="宋体" w:hAnsi="宋体" w:hint="eastAsia"/>
          <w:sz w:val="24"/>
          <w:szCs w:val="24"/>
        </w:rPr>
        <w:t>*可选配碳纤维转头。</w:t>
      </w:r>
    </w:p>
    <w:p w:rsidR="0014573C" w:rsidRDefault="0014573C" w:rsidP="0014573C">
      <w:pPr>
        <w:rPr>
          <w:rFonts w:ascii="宋体" w:hAnsi="宋体"/>
          <w:sz w:val="24"/>
          <w:szCs w:val="24"/>
        </w:rPr>
      </w:pPr>
    </w:p>
    <w:p w:rsidR="0014573C" w:rsidRDefault="0014573C" w:rsidP="0014573C">
      <w:pPr>
        <w:rPr>
          <w:rFonts w:ascii="宋体" w:hAnsi="宋体"/>
          <w:sz w:val="24"/>
          <w:szCs w:val="24"/>
        </w:rPr>
      </w:pPr>
      <w:r>
        <w:rPr>
          <w:rFonts w:ascii="宋体" w:hAnsi="宋体" w:hint="eastAsia"/>
          <w:sz w:val="24"/>
          <w:szCs w:val="24"/>
        </w:rPr>
        <w:t>配置要求：</w:t>
      </w:r>
    </w:p>
    <w:p w:rsidR="0014573C" w:rsidRDefault="0014573C" w:rsidP="0014573C">
      <w:pPr>
        <w:rPr>
          <w:rFonts w:ascii="宋体" w:hAnsi="宋体"/>
          <w:sz w:val="24"/>
          <w:szCs w:val="24"/>
        </w:rPr>
      </w:pPr>
      <w:r>
        <w:rPr>
          <w:rFonts w:ascii="宋体" w:hAnsi="宋体" w:hint="eastAsia"/>
          <w:sz w:val="24"/>
          <w:szCs w:val="24"/>
        </w:rPr>
        <w:t>主机，</w:t>
      </w:r>
      <w:r>
        <w:rPr>
          <w:rFonts w:ascii="宋体" w:hAnsi="宋体"/>
          <w:sz w:val="24"/>
          <w:szCs w:val="24"/>
        </w:rPr>
        <w:t>2</w:t>
      </w:r>
      <w:r>
        <w:rPr>
          <w:rFonts w:ascii="宋体" w:hAnsi="宋体" w:hint="eastAsia"/>
          <w:sz w:val="24"/>
          <w:szCs w:val="24"/>
        </w:rPr>
        <w:t>台；</w:t>
      </w:r>
    </w:p>
    <w:p w:rsidR="0014573C" w:rsidRDefault="0014573C" w:rsidP="0014573C">
      <w:pPr>
        <w:rPr>
          <w:rFonts w:ascii="宋体" w:hAnsi="宋体"/>
          <w:sz w:val="24"/>
          <w:szCs w:val="24"/>
        </w:rPr>
      </w:pPr>
      <w:r>
        <w:rPr>
          <w:rFonts w:ascii="宋体" w:hAnsi="宋体" w:hint="eastAsia"/>
          <w:sz w:val="24"/>
          <w:szCs w:val="24"/>
        </w:rPr>
        <w:t>水平转头，</w:t>
      </w:r>
      <w:r>
        <w:rPr>
          <w:rFonts w:ascii="宋体" w:hAnsi="宋体"/>
          <w:sz w:val="24"/>
          <w:szCs w:val="24"/>
        </w:rPr>
        <w:t>2</w:t>
      </w:r>
      <w:r>
        <w:rPr>
          <w:rFonts w:ascii="宋体" w:hAnsi="宋体" w:hint="eastAsia"/>
          <w:sz w:val="24"/>
          <w:szCs w:val="24"/>
        </w:rPr>
        <w:t>个；</w:t>
      </w:r>
    </w:p>
    <w:p w:rsidR="0014573C" w:rsidRDefault="0014573C" w:rsidP="0014573C">
      <w:pPr>
        <w:rPr>
          <w:rFonts w:ascii="宋体" w:hAnsi="宋体"/>
          <w:sz w:val="24"/>
          <w:szCs w:val="24"/>
        </w:rPr>
      </w:pPr>
      <w:r>
        <w:rPr>
          <w:rFonts w:ascii="宋体" w:hAnsi="宋体" w:hint="eastAsia"/>
          <w:sz w:val="24"/>
          <w:szCs w:val="24"/>
        </w:rPr>
        <w:t>吊篮，2套；</w:t>
      </w:r>
    </w:p>
    <w:p w:rsidR="0014573C" w:rsidRDefault="0014573C" w:rsidP="0014573C">
      <w:pPr>
        <w:rPr>
          <w:rFonts w:ascii="宋体" w:hAnsi="宋体"/>
          <w:sz w:val="24"/>
          <w:szCs w:val="24"/>
        </w:rPr>
      </w:pPr>
      <w:r>
        <w:rPr>
          <w:rFonts w:ascii="宋体" w:hAnsi="宋体" w:hint="eastAsia"/>
          <w:sz w:val="24"/>
          <w:szCs w:val="24"/>
        </w:rPr>
        <w:t>1</w:t>
      </w:r>
      <w:r>
        <w:rPr>
          <w:rFonts w:ascii="宋体" w:hAnsi="宋体"/>
          <w:sz w:val="24"/>
          <w:szCs w:val="24"/>
        </w:rPr>
        <w:t>5</w:t>
      </w:r>
      <w:r>
        <w:rPr>
          <w:rFonts w:ascii="宋体" w:hAnsi="宋体" w:hint="eastAsia"/>
          <w:sz w:val="24"/>
          <w:szCs w:val="24"/>
        </w:rPr>
        <w:t>ml</w:t>
      </w:r>
      <w:r>
        <w:rPr>
          <w:rFonts w:ascii="宋体" w:hAnsi="宋体"/>
          <w:sz w:val="24"/>
          <w:szCs w:val="24"/>
        </w:rPr>
        <w:t xml:space="preserve"> </w:t>
      </w:r>
      <w:r>
        <w:rPr>
          <w:rFonts w:ascii="宋体" w:hAnsi="宋体" w:hint="eastAsia"/>
          <w:sz w:val="24"/>
          <w:szCs w:val="24"/>
        </w:rPr>
        <w:t>离心管适配器，</w:t>
      </w:r>
      <w:r>
        <w:rPr>
          <w:rFonts w:ascii="宋体" w:hAnsi="宋体"/>
          <w:sz w:val="24"/>
          <w:szCs w:val="24"/>
        </w:rPr>
        <w:t>2</w:t>
      </w:r>
      <w:r>
        <w:rPr>
          <w:rFonts w:ascii="宋体" w:hAnsi="宋体" w:hint="eastAsia"/>
          <w:sz w:val="24"/>
          <w:szCs w:val="24"/>
        </w:rPr>
        <w:t>套；</w:t>
      </w:r>
    </w:p>
    <w:p w:rsidR="0014573C" w:rsidRDefault="0014573C" w:rsidP="0014573C">
      <w:pPr>
        <w:rPr>
          <w:rFonts w:ascii="宋体" w:hAnsi="宋体"/>
          <w:sz w:val="24"/>
          <w:szCs w:val="24"/>
        </w:rPr>
      </w:pPr>
      <w:r>
        <w:rPr>
          <w:rFonts w:ascii="宋体" w:hAnsi="宋体"/>
          <w:sz w:val="24"/>
          <w:szCs w:val="24"/>
        </w:rPr>
        <w:t>50</w:t>
      </w:r>
      <w:r>
        <w:rPr>
          <w:rFonts w:ascii="宋体" w:hAnsi="宋体" w:hint="eastAsia"/>
          <w:sz w:val="24"/>
          <w:szCs w:val="24"/>
        </w:rPr>
        <w:t>ml</w:t>
      </w:r>
      <w:r>
        <w:rPr>
          <w:rFonts w:ascii="宋体" w:hAnsi="宋体"/>
          <w:sz w:val="24"/>
          <w:szCs w:val="24"/>
        </w:rPr>
        <w:t xml:space="preserve"> </w:t>
      </w:r>
      <w:r>
        <w:rPr>
          <w:rFonts w:ascii="宋体" w:hAnsi="宋体" w:hint="eastAsia"/>
          <w:sz w:val="24"/>
          <w:szCs w:val="24"/>
        </w:rPr>
        <w:t>离心管适配器，</w:t>
      </w:r>
      <w:r>
        <w:rPr>
          <w:rFonts w:ascii="宋体" w:hAnsi="宋体"/>
          <w:sz w:val="24"/>
          <w:szCs w:val="24"/>
        </w:rPr>
        <w:t>2</w:t>
      </w:r>
      <w:r>
        <w:rPr>
          <w:rFonts w:ascii="宋体" w:hAnsi="宋体" w:hint="eastAsia"/>
          <w:sz w:val="24"/>
          <w:szCs w:val="24"/>
        </w:rPr>
        <w:t>套；</w:t>
      </w:r>
    </w:p>
    <w:p w:rsidR="0014573C" w:rsidRDefault="0014573C" w:rsidP="0014573C">
      <w:pPr>
        <w:rPr>
          <w:rFonts w:ascii="宋体" w:hAnsi="宋体"/>
          <w:sz w:val="24"/>
          <w:szCs w:val="24"/>
        </w:rPr>
      </w:pPr>
      <w:r>
        <w:rPr>
          <w:rFonts w:ascii="宋体" w:hAnsi="宋体"/>
          <w:sz w:val="24"/>
          <w:szCs w:val="24"/>
        </w:rPr>
        <w:t>5</w:t>
      </w:r>
      <w:r>
        <w:rPr>
          <w:rFonts w:ascii="宋体" w:hAnsi="宋体" w:hint="eastAsia"/>
          <w:sz w:val="24"/>
          <w:szCs w:val="24"/>
        </w:rPr>
        <w:t>ml</w:t>
      </w:r>
      <w:r>
        <w:rPr>
          <w:rFonts w:ascii="宋体" w:hAnsi="宋体"/>
          <w:sz w:val="24"/>
          <w:szCs w:val="24"/>
        </w:rPr>
        <w:t xml:space="preserve"> </w:t>
      </w:r>
      <w:r>
        <w:rPr>
          <w:rFonts w:ascii="宋体" w:hAnsi="宋体" w:hint="eastAsia"/>
          <w:sz w:val="24"/>
          <w:szCs w:val="24"/>
        </w:rPr>
        <w:t>采血管适配器，</w:t>
      </w:r>
      <w:r>
        <w:rPr>
          <w:rFonts w:ascii="宋体" w:hAnsi="宋体"/>
          <w:sz w:val="24"/>
          <w:szCs w:val="24"/>
        </w:rPr>
        <w:t>2</w:t>
      </w:r>
      <w:r>
        <w:rPr>
          <w:rFonts w:ascii="宋体" w:hAnsi="宋体" w:hint="eastAsia"/>
          <w:sz w:val="24"/>
          <w:szCs w:val="24"/>
        </w:rPr>
        <w:t>套；</w:t>
      </w:r>
    </w:p>
    <w:p w:rsidR="0014573C" w:rsidRDefault="0014573C" w:rsidP="0014573C">
      <w:pPr>
        <w:rPr>
          <w:rFonts w:ascii="宋体" w:hAnsi="宋体"/>
          <w:sz w:val="24"/>
          <w:szCs w:val="24"/>
        </w:rPr>
      </w:pPr>
      <w:r>
        <w:rPr>
          <w:rFonts w:ascii="宋体" w:hAnsi="宋体" w:hint="eastAsia"/>
          <w:sz w:val="24"/>
          <w:szCs w:val="24"/>
        </w:rPr>
        <w:t>1</w:t>
      </w:r>
      <w:r>
        <w:rPr>
          <w:rFonts w:ascii="宋体" w:hAnsi="宋体"/>
          <w:sz w:val="24"/>
          <w:szCs w:val="24"/>
        </w:rPr>
        <w:t>0</w:t>
      </w:r>
      <w:r>
        <w:rPr>
          <w:rFonts w:ascii="宋体" w:hAnsi="宋体" w:hint="eastAsia"/>
          <w:sz w:val="24"/>
          <w:szCs w:val="24"/>
        </w:rPr>
        <w:t>ml</w:t>
      </w:r>
      <w:r>
        <w:rPr>
          <w:rFonts w:ascii="宋体" w:hAnsi="宋体"/>
          <w:sz w:val="24"/>
          <w:szCs w:val="24"/>
        </w:rPr>
        <w:t xml:space="preserve"> </w:t>
      </w:r>
      <w:r>
        <w:rPr>
          <w:rFonts w:ascii="宋体" w:hAnsi="宋体" w:hint="eastAsia"/>
          <w:sz w:val="24"/>
          <w:szCs w:val="24"/>
        </w:rPr>
        <w:t>采血管适配器，</w:t>
      </w:r>
      <w:r>
        <w:rPr>
          <w:rFonts w:ascii="宋体" w:hAnsi="宋体"/>
          <w:sz w:val="24"/>
          <w:szCs w:val="24"/>
        </w:rPr>
        <w:t>2</w:t>
      </w:r>
      <w:r>
        <w:rPr>
          <w:rFonts w:ascii="宋体" w:hAnsi="宋体" w:hint="eastAsia"/>
          <w:sz w:val="24"/>
          <w:szCs w:val="24"/>
        </w:rPr>
        <w:t>套；</w:t>
      </w:r>
    </w:p>
    <w:p w:rsidR="0014573C" w:rsidRPr="00D7591A" w:rsidRDefault="0014573C" w:rsidP="0014573C">
      <w:pPr>
        <w:rPr>
          <w:rFonts w:ascii="宋体" w:hAnsi="宋体"/>
          <w:sz w:val="24"/>
          <w:szCs w:val="24"/>
        </w:rPr>
      </w:pPr>
      <w:r>
        <w:rPr>
          <w:rFonts w:ascii="宋体" w:hAnsi="宋体" w:hint="eastAsia"/>
          <w:sz w:val="24"/>
          <w:szCs w:val="24"/>
        </w:rPr>
        <w:t>防腐蚀油，2支</w:t>
      </w:r>
    </w:p>
    <w:p w:rsidR="003B6DC3" w:rsidRDefault="003B6DC3" w:rsidP="003B6DC3">
      <w:pPr>
        <w:contextualSpacing/>
        <w:mirrorIndents/>
        <w:rPr>
          <w:rFonts w:ascii="宋体" w:hAnsi="宋体"/>
          <w:sz w:val="24"/>
          <w:szCs w:val="24"/>
        </w:rPr>
      </w:pPr>
    </w:p>
    <w:p w:rsidR="003B6DC3" w:rsidRDefault="003B6DC3" w:rsidP="003B6DC3">
      <w:pPr>
        <w:contextualSpacing/>
        <w:mirrorIndents/>
        <w:rPr>
          <w:rFonts w:ascii="宋体" w:hAnsi="宋体"/>
          <w:sz w:val="24"/>
          <w:szCs w:val="24"/>
        </w:rPr>
      </w:pPr>
      <w:r>
        <w:rPr>
          <w:rFonts w:ascii="宋体" w:hAnsi="宋体" w:hint="eastAsia"/>
          <w:sz w:val="24"/>
          <w:szCs w:val="24"/>
        </w:rPr>
        <w:t>到货期</w:t>
      </w:r>
      <w:r>
        <w:rPr>
          <w:rFonts w:ascii="宋体" w:hAnsi="宋体"/>
          <w:sz w:val="24"/>
          <w:szCs w:val="24"/>
        </w:rPr>
        <w:t>：</w:t>
      </w:r>
      <w:r>
        <w:rPr>
          <w:rFonts w:ascii="宋体" w:hAnsi="宋体" w:hint="eastAsia"/>
          <w:sz w:val="24"/>
          <w:szCs w:val="24"/>
        </w:rPr>
        <w:t>一周</w:t>
      </w:r>
      <w:r>
        <w:rPr>
          <w:rFonts w:ascii="宋体" w:hAnsi="宋体"/>
          <w:sz w:val="24"/>
          <w:szCs w:val="24"/>
        </w:rPr>
        <w:t>内</w:t>
      </w:r>
    </w:p>
    <w:p w:rsidR="003B6DC3" w:rsidRDefault="003B6DC3" w:rsidP="003B6DC3">
      <w:pPr>
        <w:contextualSpacing/>
        <w:mirrorIndents/>
        <w:rPr>
          <w:rFonts w:ascii="宋体" w:hAnsi="宋体"/>
          <w:sz w:val="24"/>
          <w:szCs w:val="24"/>
        </w:rPr>
      </w:pPr>
      <w:r>
        <w:rPr>
          <w:rFonts w:ascii="宋体" w:hAnsi="宋体" w:hint="eastAsia"/>
          <w:sz w:val="24"/>
          <w:szCs w:val="24"/>
        </w:rPr>
        <w:t>保修</w:t>
      </w:r>
      <w:r>
        <w:rPr>
          <w:rFonts w:ascii="宋体" w:hAnsi="宋体"/>
          <w:sz w:val="24"/>
          <w:szCs w:val="24"/>
        </w:rPr>
        <w:t>：</w:t>
      </w:r>
      <w:r w:rsidR="00D71B9F">
        <w:rPr>
          <w:rFonts w:ascii="宋体" w:hAnsi="宋体" w:hint="eastAsia"/>
          <w:sz w:val="24"/>
          <w:szCs w:val="24"/>
        </w:rPr>
        <w:t>3</w:t>
      </w:r>
      <w:bookmarkStart w:id="0" w:name="_GoBack"/>
      <w:bookmarkEnd w:id="0"/>
      <w:r>
        <w:rPr>
          <w:rFonts w:ascii="宋体" w:hAnsi="宋体"/>
          <w:sz w:val="24"/>
          <w:szCs w:val="24"/>
        </w:rPr>
        <w:t>年</w:t>
      </w:r>
    </w:p>
    <w:p w:rsidR="003B6DC3" w:rsidRDefault="003B6DC3" w:rsidP="003B6DC3">
      <w:pPr>
        <w:contextualSpacing/>
        <w:mirrorIndents/>
        <w:rPr>
          <w:rFonts w:ascii="宋体" w:hAnsi="宋体"/>
          <w:sz w:val="24"/>
          <w:szCs w:val="24"/>
        </w:rPr>
      </w:pPr>
      <w:r>
        <w:rPr>
          <w:rFonts w:ascii="宋体" w:hAnsi="宋体" w:hint="eastAsia"/>
          <w:sz w:val="24"/>
          <w:szCs w:val="24"/>
        </w:rPr>
        <w:t>预算</w:t>
      </w:r>
      <w:r>
        <w:rPr>
          <w:rFonts w:ascii="宋体" w:hAnsi="宋体"/>
          <w:sz w:val="24"/>
          <w:szCs w:val="24"/>
        </w:rPr>
        <w:t>：</w:t>
      </w:r>
      <w:r>
        <w:rPr>
          <w:rFonts w:ascii="宋体" w:hAnsi="宋体" w:hint="eastAsia"/>
          <w:sz w:val="24"/>
          <w:szCs w:val="24"/>
        </w:rPr>
        <w:t>18万元</w:t>
      </w:r>
    </w:p>
    <w:p w:rsidR="003B6DC3" w:rsidRPr="00C450C5" w:rsidRDefault="003B6DC3" w:rsidP="003B6DC3">
      <w:pPr>
        <w:contextualSpacing/>
        <w:mirrorIndents/>
        <w:rPr>
          <w:rFonts w:ascii="宋体" w:hAnsi="宋体"/>
          <w:sz w:val="24"/>
          <w:szCs w:val="24"/>
        </w:rPr>
      </w:pPr>
    </w:p>
    <w:p w:rsidR="00C24F8B" w:rsidRPr="004176E4" w:rsidRDefault="00C24F8B" w:rsidP="003B6DC3">
      <w:pPr>
        <w:pStyle w:val="Default"/>
        <w:rPr>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r w:rsidR="00DE281A" w:rsidRPr="00196FAE">
        <w:rPr>
          <w:rFonts w:asciiTheme="minorEastAsia" w:eastAsiaTheme="minorEastAsia" w:hAnsiTheme="minorEastAsia"/>
          <w:szCs w:val="21"/>
        </w:rPr>
        <w:t>现邀请</w:t>
      </w:r>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BD1633">
        <w:rPr>
          <w:rFonts w:asciiTheme="minorEastAsia" w:eastAsiaTheme="minorEastAsia" w:hAnsiTheme="minorEastAsia" w:hint="eastAsia"/>
          <w:szCs w:val="21"/>
        </w:rPr>
        <w:t>投标</w:t>
      </w:r>
      <w:r w:rsidR="00BD1633">
        <w:rPr>
          <w:rFonts w:asciiTheme="minorEastAsia" w:eastAsiaTheme="minorEastAsia" w:hAnsiTheme="minorEastAsia"/>
          <w:szCs w:val="21"/>
        </w:rPr>
        <w:t>产品的</w:t>
      </w:r>
      <w:r w:rsidR="00520F2F" w:rsidRPr="00196FAE">
        <w:rPr>
          <w:rFonts w:asciiTheme="minorEastAsia" w:eastAsiaTheme="minorEastAsia" w:hAnsiTheme="minorEastAsia" w:hint="eastAsia"/>
          <w:szCs w:val="21"/>
        </w:rPr>
        <w:t>北京三甲医院近三年</w:t>
      </w:r>
      <w:r w:rsidR="00BD1633">
        <w:rPr>
          <w:rFonts w:asciiTheme="minorEastAsia" w:eastAsiaTheme="minorEastAsia" w:hAnsiTheme="minorEastAsia" w:hint="eastAsia"/>
          <w:szCs w:val="21"/>
        </w:rPr>
        <w:t>销售</w:t>
      </w:r>
      <w:r w:rsidR="00520F2F" w:rsidRPr="00196FAE">
        <w:rPr>
          <w:rFonts w:asciiTheme="minorEastAsia" w:eastAsiaTheme="minorEastAsia" w:hAnsiTheme="minorEastAsia" w:hint="eastAsia"/>
          <w:szCs w:val="21"/>
        </w:rPr>
        <w:t>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文件一正四副共五份需胶封</w:t>
      </w:r>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注.投标人可以投一个包或多个包，但不允许拆包投标，即投标人必须对每个包要求的所有货物和服务给予报价，并以包为单位分别独立装订投标文件。每包投标文件正、副本必须分开装订成册。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982ECA">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联系人：谢晓添88324616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小微企业优惠率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lastRenderedPageBreak/>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合同签定后，未经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(一)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w:t>
      </w:r>
      <w:r>
        <w:rPr>
          <w:rFonts w:ascii="宋体" w:hAnsi="宋体" w:hint="eastAsia"/>
          <w:sz w:val="24"/>
        </w:rPr>
        <w:lastRenderedPageBreak/>
        <w:t>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w:t>
      </w:r>
      <w:r>
        <w:rPr>
          <w:rFonts w:ascii="宋体" w:hAnsi="宋体" w:hint="eastAsia"/>
          <w:sz w:val="24"/>
        </w:rPr>
        <w:lastRenderedPageBreak/>
        <w:t>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72E" w:rsidRDefault="009A272E" w:rsidP="00C35CAB">
      <w:r>
        <w:separator/>
      </w:r>
    </w:p>
  </w:endnote>
  <w:endnote w:type="continuationSeparator" w:id="0">
    <w:p w:rsidR="009A272E" w:rsidRDefault="009A272E"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72E" w:rsidRDefault="009A272E" w:rsidP="00C35CAB">
      <w:r>
        <w:separator/>
      </w:r>
    </w:p>
  </w:footnote>
  <w:footnote w:type="continuationSeparator" w:id="0">
    <w:p w:rsidR="009A272E" w:rsidRDefault="009A272E"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sidR="004F1072">
      <w:rPr>
        <w:rFonts w:hint="eastAsia"/>
      </w:rPr>
      <w:t>招标采购中心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146530F"/>
    <w:multiLevelType w:val="hybridMultilevel"/>
    <w:tmpl w:val="59C418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E5F5945"/>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nsid w:val="211D7AE9"/>
    <w:multiLevelType w:val="hybridMultilevel"/>
    <w:tmpl w:val="7DDA9990"/>
    <w:lvl w:ilvl="0" w:tplc="AD16B75A">
      <w:start w:val="9"/>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9758B8"/>
    <w:multiLevelType w:val="hybridMultilevel"/>
    <w:tmpl w:val="63A2AF2A"/>
    <w:lvl w:ilvl="0" w:tplc="DDE8B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2A1F14A7"/>
    <w:multiLevelType w:val="hybridMultilevel"/>
    <w:tmpl w:val="1BFCEB5A"/>
    <w:lvl w:ilvl="0" w:tplc="0409000F">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1">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13">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4">
    <w:nsid w:val="380840D2"/>
    <w:multiLevelType w:val="multilevel"/>
    <w:tmpl w:val="380840D2"/>
    <w:lvl w:ilvl="0">
      <w:start w:val="1"/>
      <w:numFmt w:val="decimal"/>
      <w:lvlText w:val="%1．"/>
      <w:lvlJc w:val="left"/>
      <w:pPr>
        <w:ind w:left="595" w:hanging="36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15">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01527B7"/>
    <w:multiLevelType w:val="hybridMultilevel"/>
    <w:tmpl w:val="B350969C"/>
    <w:lvl w:ilvl="0" w:tplc="9DB80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F471B51"/>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C3A69B2"/>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19"/>
  </w:num>
  <w:num w:numId="3">
    <w:abstractNumId w:val="18"/>
  </w:num>
  <w:num w:numId="4">
    <w:abstractNumId w:val="13"/>
  </w:num>
  <w:num w:numId="5">
    <w:abstractNumId w:val="11"/>
  </w:num>
  <w:num w:numId="6">
    <w:abstractNumId w:val="20"/>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num>
  <w:num w:numId="10">
    <w:abstractNumId w:val="1"/>
  </w:num>
  <w:num w:numId="11">
    <w:abstractNumId w:val="0"/>
  </w:num>
  <w:num w:numId="12">
    <w:abstractNumId w:val="12"/>
  </w:num>
  <w:num w:numId="13">
    <w:abstractNumId w:val="15"/>
  </w:num>
  <w:num w:numId="14">
    <w:abstractNumId w:val="6"/>
  </w:num>
  <w:num w:numId="15">
    <w:abstractNumId w:val="14"/>
  </w:num>
  <w:num w:numId="16">
    <w:abstractNumId w:val="22"/>
  </w:num>
  <w:num w:numId="17">
    <w:abstractNumId w:val="21"/>
  </w:num>
  <w:num w:numId="18">
    <w:abstractNumId w:val="5"/>
  </w:num>
  <w:num w:numId="19">
    <w:abstractNumId w:val="8"/>
  </w:num>
  <w:num w:numId="20">
    <w:abstractNumId w:val="7"/>
  </w:num>
  <w:num w:numId="21">
    <w:abstractNumId w:val="16"/>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1001"/>
    <w:rsid w:val="00032713"/>
    <w:rsid w:val="0003503A"/>
    <w:rsid w:val="00040A20"/>
    <w:rsid w:val="000424CC"/>
    <w:rsid w:val="000445AB"/>
    <w:rsid w:val="000468F4"/>
    <w:rsid w:val="00050D9B"/>
    <w:rsid w:val="00051180"/>
    <w:rsid w:val="00053C5A"/>
    <w:rsid w:val="00055282"/>
    <w:rsid w:val="00065597"/>
    <w:rsid w:val="00071C7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E69DC"/>
    <w:rsid w:val="000F2F8C"/>
    <w:rsid w:val="00104335"/>
    <w:rsid w:val="00104611"/>
    <w:rsid w:val="0010565C"/>
    <w:rsid w:val="00105CFD"/>
    <w:rsid w:val="00110D75"/>
    <w:rsid w:val="00117A90"/>
    <w:rsid w:val="00126DB1"/>
    <w:rsid w:val="0013613D"/>
    <w:rsid w:val="0014294B"/>
    <w:rsid w:val="001430BD"/>
    <w:rsid w:val="00144722"/>
    <w:rsid w:val="0014573C"/>
    <w:rsid w:val="00152B6F"/>
    <w:rsid w:val="00174551"/>
    <w:rsid w:val="00177905"/>
    <w:rsid w:val="00184585"/>
    <w:rsid w:val="00186730"/>
    <w:rsid w:val="001939F2"/>
    <w:rsid w:val="001949AB"/>
    <w:rsid w:val="00196FAE"/>
    <w:rsid w:val="001A4A92"/>
    <w:rsid w:val="001A563F"/>
    <w:rsid w:val="001B05E4"/>
    <w:rsid w:val="001B0A59"/>
    <w:rsid w:val="001D0573"/>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30FB"/>
    <w:rsid w:val="0025784B"/>
    <w:rsid w:val="00260317"/>
    <w:rsid w:val="00270F9A"/>
    <w:rsid w:val="00273807"/>
    <w:rsid w:val="00275F33"/>
    <w:rsid w:val="002776BC"/>
    <w:rsid w:val="00284A48"/>
    <w:rsid w:val="00285EBB"/>
    <w:rsid w:val="0029052B"/>
    <w:rsid w:val="002A0686"/>
    <w:rsid w:val="002A093C"/>
    <w:rsid w:val="002A2C93"/>
    <w:rsid w:val="002A2E27"/>
    <w:rsid w:val="002A42B9"/>
    <w:rsid w:val="002A4CBC"/>
    <w:rsid w:val="002C2C5D"/>
    <w:rsid w:val="002C6041"/>
    <w:rsid w:val="002C6BFE"/>
    <w:rsid w:val="002D232B"/>
    <w:rsid w:val="002D3EFE"/>
    <w:rsid w:val="002E2250"/>
    <w:rsid w:val="002E4F63"/>
    <w:rsid w:val="002E6470"/>
    <w:rsid w:val="002F22C3"/>
    <w:rsid w:val="002F620B"/>
    <w:rsid w:val="002F6D3F"/>
    <w:rsid w:val="00300268"/>
    <w:rsid w:val="00305EB0"/>
    <w:rsid w:val="00306665"/>
    <w:rsid w:val="00310422"/>
    <w:rsid w:val="0033251C"/>
    <w:rsid w:val="00333B68"/>
    <w:rsid w:val="00336A08"/>
    <w:rsid w:val="00342B1C"/>
    <w:rsid w:val="00343EB4"/>
    <w:rsid w:val="00344CC7"/>
    <w:rsid w:val="003472D4"/>
    <w:rsid w:val="00352967"/>
    <w:rsid w:val="00362560"/>
    <w:rsid w:val="00362E6E"/>
    <w:rsid w:val="00363277"/>
    <w:rsid w:val="00363D7D"/>
    <w:rsid w:val="003663C7"/>
    <w:rsid w:val="00367A6A"/>
    <w:rsid w:val="00374D8D"/>
    <w:rsid w:val="0037542B"/>
    <w:rsid w:val="0037672A"/>
    <w:rsid w:val="00377F90"/>
    <w:rsid w:val="00381845"/>
    <w:rsid w:val="003A01D2"/>
    <w:rsid w:val="003A1A25"/>
    <w:rsid w:val="003A1D97"/>
    <w:rsid w:val="003A3384"/>
    <w:rsid w:val="003A5B90"/>
    <w:rsid w:val="003B346E"/>
    <w:rsid w:val="003B3A4E"/>
    <w:rsid w:val="003B3D8F"/>
    <w:rsid w:val="003B6DC3"/>
    <w:rsid w:val="003B78C1"/>
    <w:rsid w:val="003C423F"/>
    <w:rsid w:val="003D4057"/>
    <w:rsid w:val="003D45C5"/>
    <w:rsid w:val="003D4D75"/>
    <w:rsid w:val="003D5CDE"/>
    <w:rsid w:val="003D6108"/>
    <w:rsid w:val="003E2045"/>
    <w:rsid w:val="003E500D"/>
    <w:rsid w:val="003E65AE"/>
    <w:rsid w:val="003E6612"/>
    <w:rsid w:val="003E7D34"/>
    <w:rsid w:val="003F5071"/>
    <w:rsid w:val="004118FF"/>
    <w:rsid w:val="0041632D"/>
    <w:rsid w:val="004176E4"/>
    <w:rsid w:val="00417D94"/>
    <w:rsid w:val="0042322A"/>
    <w:rsid w:val="0042585B"/>
    <w:rsid w:val="00434750"/>
    <w:rsid w:val="00435315"/>
    <w:rsid w:val="0044595C"/>
    <w:rsid w:val="004461D9"/>
    <w:rsid w:val="004523F3"/>
    <w:rsid w:val="004619DB"/>
    <w:rsid w:val="00461E80"/>
    <w:rsid w:val="0046288C"/>
    <w:rsid w:val="004641BB"/>
    <w:rsid w:val="00464CEA"/>
    <w:rsid w:val="00466038"/>
    <w:rsid w:val="004740EA"/>
    <w:rsid w:val="00482841"/>
    <w:rsid w:val="00483FC9"/>
    <w:rsid w:val="00491D0F"/>
    <w:rsid w:val="00497CF6"/>
    <w:rsid w:val="004A0AC1"/>
    <w:rsid w:val="004A2211"/>
    <w:rsid w:val="004A5D08"/>
    <w:rsid w:val="004A6911"/>
    <w:rsid w:val="004A79AC"/>
    <w:rsid w:val="004B067E"/>
    <w:rsid w:val="004B58E0"/>
    <w:rsid w:val="004C58ED"/>
    <w:rsid w:val="004C6237"/>
    <w:rsid w:val="004C7F0B"/>
    <w:rsid w:val="004D6F4A"/>
    <w:rsid w:val="004D7505"/>
    <w:rsid w:val="004F1072"/>
    <w:rsid w:val="004F1416"/>
    <w:rsid w:val="00512084"/>
    <w:rsid w:val="00520F2F"/>
    <w:rsid w:val="005233B4"/>
    <w:rsid w:val="00524191"/>
    <w:rsid w:val="00525709"/>
    <w:rsid w:val="005301B0"/>
    <w:rsid w:val="00535E37"/>
    <w:rsid w:val="005609F1"/>
    <w:rsid w:val="00564227"/>
    <w:rsid w:val="00566A9C"/>
    <w:rsid w:val="005759EE"/>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951"/>
    <w:rsid w:val="00605C33"/>
    <w:rsid w:val="00611C8C"/>
    <w:rsid w:val="00615597"/>
    <w:rsid w:val="00617045"/>
    <w:rsid w:val="0061709D"/>
    <w:rsid w:val="00620591"/>
    <w:rsid w:val="0062142C"/>
    <w:rsid w:val="0062518A"/>
    <w:rsid w:val="00625944"/>
    <w:rsid w:val="006316A0"/>
    <w:rsid w:val="00631E66"/>
    <w:rsid w:val="00643F4C"/>
    <w:rsid w:val="006478A5"/>
    <w:rsid w:val="00654DC6"/>
    <w:rsid w:val="006558A8"/>
    <w:rsid w:val="006563F5"/>
    <w:rsid w:val="0067206F"/>
    <w:rsid w:val="0067235E"/>
    <w:rsid w:val="00674DBF"/>
    <w:rsid w:val="0068181C"/>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27AE2"/>
    <w:rsid w:val="00732766"/>
    <w:rsid w:val="007425A2"/>
    <w:rsid w:val="00744577"/>
    <w:rsid w:val="007467B6"/>
    <w:rsid w:val="00752A13"/>
    <w:rsid w:val="00755870"/>
    <w:rsid w:val="007667E9"/>
    <w:rsid w:val="007678A4"/>
    <w:rsid w:val="00771184"/>
    <w:rsid w:val="007770CE"/>
    <w:rsid w:val="00780309"/>
    <w:rsid w:val="007915A9"/>
    <w:rsid w:val="007920A8"/>
    <w:rsid w:val="00795CE4"/>
    <w:rsid w:val="007A5128"/>
    <w:rsid w:val="007A78F8"/>
    <w:rsid w:val="007B067D"/>
    <w:rsid w:val="007B3952"/>
    <w:rsid w:val="007B79EA"/>
    <w:rsid w:val="007C0CE3"/>
    <w:rsid w:val="007C30B4"/>
    <w:rsid w:val="007C4219"/>
    <w:rsid w:val="007D21F7"/>
    <w:rsid w:val="007E0A13"/>
    <w:rsid w:val="007E3218"/>
    <w:rsid w:val="007F517E"/>
    <w:rsid w:val="00804B2E"/>
    <w:rsid w:val="008065A6"/>
    <w:rsid w:val="00806827"/>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56D92"/>
    <w:rsid w:val="008627A6"/>
    <w:rsid w:val="008645B2"/>
    <w:rsid w:val="00872D85"/>
    <w:rsid w:val="00872F46"/>
    <w:rsid w:val="008802F5"/>
    <w:rsid w:val="00885F2A"/>
    <w:rsid w:val="008864A7"/>
    <w:rsid w:val="00886FC9"/>
    <w:rsid w:val="008879CB"/>
    <w:rsid w:val="00895EDA"/>
    <w:rsid w:val="008B49EF"/>
    <w:rsid w:val="008B73F4"/>
    <w:rsid w:val="008C2B85"/>
    <w:rsid w:val="008C309A"/>
    <w:rsid w:val="008C3EB4"/>
    <w:rsid w:val="008C4600"/>
    <w:rsid w:val="008C4A88"/>
    <w:rsid w:val="008D3E70"/>
    <w:rsid w:val="008D555D"/>
    <w:rsid w:val="008F18ED"/>
    <w:rsid w:val="008F712D"/>
    <w:rsid w:val="00901746"/>
    <w:rsid w:val="00903442"/>
    <w:rsid w:val="00904DB5"/>
    <w:rsid w:val="00915C47"/>
    <w:rsid w:val="00916809"/>
    <w:rsid w:val="00924D25"/>
    <w:rsid w:val="00926BC9"/>
    <w:rsid w:val="009339F6"/>
    <w:rsid w:val="00934692"/>
    <w:rsid w:val="009374AC"/>
    <w:rsid w:val="0094213F"/>
    <w:rsid w:val="00952C92"/>
    <w:rsid w:val="0095590B"/>
    <w:rsid w:val="00957D23"/>
    <w:rsid w:val="00961245"/>
    <w:rsid w:val="0096344C"/>
    <w:rsid w:val="0096587D"/>
    <w:rsid w:val="009748FE"/>
    <w:rsid w:val="00982ECA"/>
    <w:rsid w:val="00986C64"/>
    <w:rsid w:val="00991F68"/>
    <w:rsid w:val="009A272E"/>
    <w:rsid w:val="009A281E"/>
    <w:rsid w:val="009A483D"/>
    <w:rsid w:val="009A58EB"/>
    <w:rsid w:val="009A6A1B"/>
    <w:rsid w:val="009B221A"/>
    <w:rsid w:val="009B36CF"/>
    <w:rsid w:val="009C3BC3"/>
    <w:rsid w:val="009C526C"/>
    <w:rsid w:val="009D12B4"/>
    <w:rsid w:val="009D473D"/>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37439"/>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006A"/>
    <w:rsid w:val="00A82A15"/>
    <w:rsid w:val="00A83F98"/>
    <w:rsid w:val="00A84145"/>
    <w:rsid w:val="00A8581A"/>
    <w:rsid w:val="00A91A36"/>
    <w:rsid w:val="00A94A07"/>
    <w:rsid w:val="00AA0B99"/>
    <w:rsid w:val="00AA148A"/>
    <w:rsid w:val="00AA35FD"/>
    <w:rsid w:val="00AA3790"/>
    <w:rsid w:val="00AA55F4"/>
    <w:rsid w:val="00AB554F"/>
    <w:rsid w:val="00AC33EB"/>
    <w:rsid w:val="00AC5F9D"/>
    <w:rsid w:val="00AC7766"/>
    <w:rsid w:val="00AC7C00"/>
    <w:rsid w:val="00AD1C0B"/>
    <w:rsid w:val="00AD6627"/>
    <w:rsid w:val="00AE7C6C"/>
    <w:rsid w:val="00AF3F80"/>
    <w:rsid w:val="00AF4B65"/>
    <w:rsid w:val="00B07C85"/>
    <w:rsid w:val="00B370FE"/>
    <w:rsid w:val="00B40E25"/>
    <w:rsid w:val="00B41EE6"/>
    <w:rsid w:val="00B42B51"/>
    <w:rsid w:val="00B42BCE"/>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9B9"/>
    <w:rsid w:val="00BB5D3E"/>
    <w:rsid w:val="00BC0FD1"/>
    <w:rsid w:val="00BC3D9F"/>
    <w:rsid w:val="00BD1633"/>
    <w:rsid w:val="00BD545E"/>
    <w:rsid w:val="00BE24C2"/>
    <w:rsid w:val="00BE3786"/>
    <w:rsid w:val="00BE3C21"/>
    <w:rsid w:val="00C000DC"/>
    <w:rsid w:val="00C14423"/>
    <w:rsid w:val="00C170AE"/>
    <w:rsid w:val="00C179A5"/>
    <w:rsid w:val="00C24F8B"/>
    <w:rsid w:val="00C26729"/>
    <w:rsid w:val="00C27463"/>
    <w:rsid w:val="00C30094"/>
    <w:rsid w:val="00C31450"/>
    <w:rsid w:val="00C35CAB"/>
    <w:rsid w:val="00C37840"/>
    <w:rsid w:val="00C43CEF"/>
    <w:rsid w:val="00C478A0"/>
    <w:rsid w:val="00C55C16"/>
    <w:rsid w:val="00C614AB"/>
    <w:rsid w:val="00C62568"/>
    <w:rsid w:val="00C70F4C"/>
    <w:rsid w:val="00C72671"/>
    <w:rsid w:val="00C758D4"/>
    <w:rsid w:val="00C810B4"/>
    <w:rsid w:val="00C83F47"/>
    <w:rsid w:val="00C8574E"/>
    <w:rsid w:val="00C917BA"/>
    <w:rsid w:val="00C95676"/>
    <w:rsid w:val="00C97108"/>
    <w:rsid w:val="00CA2D95"/>
    <w:rsid w:val="00CA3120"/>
    <w:rsid w:val="00CA52BA"/>
    <w:rsid w:val="00CA655C"/>
    <w:rsid w:val="00CB0285"/>
    <w:rsid w:val="00CB0944"/>
    <w:rsid w:val="00CB1AF8"/>
    <w:rsid w:val="00CB2668"/>
    <w:rsid w:val="00CB6628"/>
    <w:rsid w:val="00CD024F"/>
    <w:rsid w:val="00CE0512"/>
    <w:rsid w:val="00CE2FE3"/>
    <w:rsid w:val="00CE5842"/>
    <w:rsid w:val="00CF1A23"/>
    <w:rsid w:val="00D05DF8"/>
    <w:rsid w:val="00D12E44"/>
    <w:rsid w:val="00D144C2"/>
    <w:rsid w:val="00D35F9C"/>
    <w:rsid w:val="00D3619F"/>
    <w:rsid w:val="00D4011E"/>
    <w:rsid w:val="00D41668"/>
    <w:rsid w:val="00D52834"/>
    <w:rsid w:val="00D5772D"/>
    <w:rsid w:val="00D624F6"/>
    <w:rsid w:val="00D64DE0"/>
    <w:rsid w:val="00D6759A"/>
    <w:rsid w:val="00D71B9F"/>
    <w:rsid w:val="00D72D7F"/>
    <w:rsid w:val="00D771EC"/>
    <w:rsid w:val="00D8102E"/>
    <w:rsid w:val="00D85944"/>
    <w:rsid w:val="00D9781F"/>
    <w:rsid w:val="00D97CFA"/>
    <w:rsid w:val="00D97F3E"/>
    <w:rsid w:val="00DA5771"/>
    <w:rsid w:val="00DA6684"/>
    <w:rsid w:val="00DB1FE4"/>
    <w:rsid w:val="00DB333A"/>
    <w:rsid w:val="00DD37F0"/>
    <w:rsid w:val="00DE1110"/>
    <w:rsid w:val="00DE281A"/>
    <w:rsid w:val="00DE2FED"/>
    <w:rsid w:val="00DF2BE4"/>
    <w:rsid w:val="00DF38F7"/>
    <w:rsid w:val="00DF5207"/>
    <w:rsid w:val="00DF67AB"/>
    <w:rsid w:val="00DF70CB"/>
    <w:rsid w:val="00E07E85"/>
    <w:rsid w:val="00E15ED2"/>
    <w:rsid w:val="00E17CDF"/>
    <w:rsid w:val="00E20089"/>
    <w:rsid w:val="00E24802"/>
    <w:rsid w:val="00E33A7C"/>
    <w:rsid w:val="00E35A31"/>
    <w:rsid w:val="00E415F0"/>
    <w:rsid w:val="00E4438E"/>
    <w:rsid w:val="00E46DAE"/>
    <w:rsid w:val="00E47AA3"/>
    <w:rsid w:val="00E7139E"/>
    <w:rsid w:val="00E72063"/>
    <w:rsid w:val="00E728C7"/>
    <w:rsid w:val="00E740C6"/>
    <w:rsid w:val="00E74C28"/>
    <w:rsid w:val="00E764EE"/>
    <w:rsid w:val="00E8083D"/>
    <w:rsid w:val="00E82946"/>
    <w:rsid w:val="00E85308"/>
    <w:rsid w:val="00E9481A"/>
    <w:rsid w:val="00E953DB"/>
    <w:rsid w:val="00E96CE5"/>
    <w:rsid w:val="00EA49BF"/>
    <w:rsid w:val="00EA52E5"/>
    <w:rsid w:val="00EA59BA"/>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92C"/>
    <w:rsid w:val="00F32BF5"/>
    <w:rsid w:val="00F35D1C"/>
    <w:rsid w:val="00F42AD6"/>
    <w:rsid w:val="00F447D1"/>
    <w:rsid w:val="00F53A42"/>
    <w:rsid w:val="00F53A88"/>
    <w:rsid w:val="00F55128"/>
    <w:rsid w:val="00F57ABB"/>
    <w:rsid w:val="00F61F2D"/>
    <w:rsid w:val="00F63102"/>
    <w:rsid w:val="00F6496B"/>
    <w:rsid w:val="00F651EA"/>
    <w:rsid w:val="00F85041"/>
    <w:rsid w:val="00F87A85"/>
    <w:rsid w:val="00F87B01"/>
    <w:rsid w:val="00F94421"/>
    <w:rsid w:val="00FA1DDE"/>
    <w:rsid w:val="00FA5367"/>
    <w:rsid w:val="00FB3E6C"/>
    <w:rsid w:val="00FB5A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qFormat/>
    <w:rsid w:val="00C24F8B"/>
    <w:pPr>
      <w:autoSpaceDE w:val="0"/>
      <w:autoSpaceDN w:val="0"/>
      <w:adjustRightInd w:val="0"/>
      <w:ind w:firstLine="420"/>
      <w:jc w:val="left"/>
    </w:pPr>
    <w:rPr>
      <w:rFonts w:ascii="宋体"/>
      <w:kern w:val="0"/>
      <w:sz w:val="24"/>
    </w:rPr>
  </w:style>
  <w:style w:type="paragraph" w:styleId="aa">
    <w:name w:val="Normal (Web)"/>
    <w:basedOn w:val="a"/>
    <w:qFormat/>
    <w:rsid w:val="00C24F8B"/>
    <w:pPr>
      <w:widowControl/>
      <w:spacing w:before="100" w:beforeAutospacing="1" w:after="100" w:afterAutospacing="1"/>
      <w:jc w:val="left"/>
    </w:pPr>
    <w:rPr>
      <w:kern w:val="0"/>
      <w:sz w:val="24"/>
      <w:szCs w:val="24"/>
    </w:rPr>
  </w:style>
  <w:style w:type="paragraph" w:styleId="ab">
    <w:name w:val="Body Text"/>
    <w:basedOn w:val="a"/>
    <w:link w:val="Char2"/>
    <w:uiPriority w:val="1"/>
    <w:qFormat/>
    <w:rsid w:val="00C55C16"/>
    <w:pPr>
      <w:autoSpaceDE w:val="0"/>
      <w:autoSpaceDN w:val="0"/>
      <w:jc w:val="left"/>
    </w:pPr>
    <w:rPr>
      <w:rFonts w:ascii="宋体" w:hAnsi="宋体" w:cs="宋体"/>
      <w:kern w:val="0"/>
      <w:szCs w:val="21"/>
      <w:lang w:val="zh-CN" w:bidi="zh-CN"/>
    </w:rPr>
  </w:style>
  <w:style w:type="character" w:customStyle="1" w:styleId="Char2">
    <w:name w:val="正文文本 Char"/>
    <w:basedOn w:val="a0"/>
    <w:link w:val="ab"/>
    <w:uiPriority w:val="1"/>
    <w:rsid w:val="00C55C16"/>
    <w:rPr>
      <w:rFonts w:ascii="宋体" w:eastAsia="宋体" w:hAnsi="宋体" w:cs="宋体"/>
      <w:kern w:val="0"/>
      <w:szCs w:val="21"/>
      <w:lang w:val="zh-CN" w:bidi="zh-CN"/>
    </w:rPr>
  </w:style>
  <w:style w:type="character" w:customStyle="1" w:styleId="Char3">
    <w:name w:val="纯文本 Char"/>
    <w:basedOn w:val="a0"/>
    <w:link w:val="ac"/>
    <w:qFormat/>
    <w:locked/>
    <w:rsid w:val="00F3292C"/>
    <w:rPr>
      <w:rFonts w:ascii="宋体" w:hAnsi="宋体" w:cs="宋体"/>
      <w:sz w:val="24"/>
      <w:szCs w:val="24"/>
    </w:rPr>
  </w:style>
  <w:style w:type="paragraph" w:styleId="ac">
    <w:name w:val="Plain Text"/>
    <w:basedOn w:val="a"/>
    <w:link w:val="Char3"/>
    <w:qFormat/>
    <w:rsid w:val="00F3292C"/>
    <w:pPr>
      <w:widowControl/>
      <w:spacing w:before="100" w:beforeAutospacing="1" w:after="100" w:afterAutospacing="1"/>
      <w:jc w:val="left"/>
    </w:pPr>
    <w:rPr>
      <w:rFonts w:ascii="宋体" w:eastAsiaTheme="minorEastAsia" w:hAnsi="宋体" w:cs="宋体"/>
      <w:sz w:val="24"/>
      <w:szCs w:val="24"/>
    </w:rPr>
  </w:style>
  <w:style w:type="character" w:customStyle="1" w:styleId="Char10">
    <w:name w:val="纯文本 Char1"/>
    <w:basedOn w:val="a0"/>
    <w:uiPriority w:val="99"/>
    <w:semiHidden/>
    <w:rsid w:val="00F3292C"/>
    <w:rPr>
      <w:rFonts w:ascii="宋体" w:eastAsia="宋体" w:hAnsi="Courier New" w:cs="Courier New"/>
      <w:szCs w:val="21"/>
    </w:rPr>
  </w:style>
  <w:style w:type="paragraph" w:customStyle="1" w:styleId="Default">
    <w:name w:val="Default"/>
    <w:qFormat/>
    <w:rsid w:val="001B05E4"/>
    <w:pPr>
      <w:widowControl w:val="0"/>
      <w:autoSpaceDE w:val="0"/>
      <w:autoSpaceDN w:val="0"/>
      <w:adjustRightInd w:val="0"/>
    </w:pPr>
    <w:rPr>
      <w:rFonts w:ascii="宋体" w:eastAsia="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F169A0-E1DB-4382-B93B-44F149F72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695</Words>
  <Characters>3965</Characters>
  <Application>Microsoft Office Word</Application>
  <DocSecurity>0</DocSecurity>
  <Lines>33</Lines>
  <Paragraphs>9</Paragraphs>
  <ScaleCrop>false</ScaleCrop>
  <Company/>
  <LinksUpToDate>false</LinksUpToDate>
  <CharactersWithSpaces>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85</cp:revision>
  <cp:lastPrinted>2015-07-01T23:52:00Z</cp:lastPrinted>
  <dcterms:created xsi:type="dcterms:W3CDTF">2021-03-18T02:48:00Z</dcterms:created>
  <dcterms:modified xsi:type="dcterms:W3CDTF">2022-06-23T07:01:00Z</dcterms:modified>
</cp:coreProperties>
</file>