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微软雅黑" w:hAnsi="微软雅黑" w:eastAsia="微软雅黑" w:cs="微软雅黑"/>
          <w:i w:val="0"/>
          <w:caps w:val="0"/>
          <w:color w:val="333333"/>
          <w:spacing w:val="8"/>
          <w:sz w:val="28"/>
          <w:szCs w:val="28"/>
        </w:rPr>
      </w:pPr>
      <w:r>
        <w:rPr>
          <w:rFonts w:hint="eastAsia" w:ascii="微软雅黑" w:hAnsi="微软雅黑" w:eastAsia="微软雅黑" w:cs="微软雅黑"/>
          <w:i w:val="0"/>
          <w:caps w:val="0"/>
          <w:color w:val="333333"/>
          <w:spacing w:val="8"/>
          <w:sz w:val="28"/>
          <w:szCs w:val="28"/>
          <w:bdr w:val="none" w:color="auto" w:sz="0" w:space="0"/>
          <w:shd w:val="clear" w:fill="FFFFFF"/>
        </w:rPr>
        <w:t>捷报：北京大学人民医院检验科获批6项国家自然科学基金项目</w:t>
      </w:r>
    </w:p>
    <w:p>
      <w:pPr>
        <w:jc w:val="center"/>
        <w:rPr>
          <w:rFonts w:hint="eastAsia" w:eastAsiaTheme="minorEastAsia"/>
          <w:lang w:eastAsia="zh-CN"/>
        </w:rPr>
      </w:pPr>
      <w:r>
        <w:rPr>
          <w:rFonts w:hint="eastAsia" w:eastAsiaTheme="minorEastAsia"/>
          <w:lang w:eastAsia="zh-CN"/>
        </w:rPr>
        <w:drawing>
          <wp:inline distT="0" distB="0" distL="114300" distR="114300">
            <wp:extent cx="5273040" cy="82550"/>
            <wp:effectExtent l="0" t="0" r="3810" b="12700"/>
            <wp:docPr id="1" name="图片 1" descr="微信图片_20190818202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818202823"/>
                    <pic:cNvPicPr>
                      <a:picLocks noChangeAspect="1"/>
                    </pic:cNvPicPr>
                  </pic:nvPicPr>
                  <pic:blipFill>
                    <a:blip r:embed="rId4"/>
                    <a:stretch>
                      <a:fillRect/>
                    </a:stretch>
                  </pic:blipFill>
                  <pic:spPr>
                    <a:xfrm>
                      <a:off x="0" y="0"/>
                      <a:ext cx="5273040" cy="82550"/>
                    </a:xfrm>
                    <a:prstGeom prst="rect">
                      <a:avLst/>
                    </a:prstGeom>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bdr w:val="none" w:color="auto" w:sz="0" w:space="0"/>
        </w:rPr>
      </w:pPr>
      <w:r>
        <w:rPr>
          <w:bdr w:val="none" w:color="auto" w:sz="0" w:space="0"/>
        </w:rPr>
        <w:t>国家自然基金委员会在8月16日发布了2019年的评审结果。我科获批了6项国家自然科学基金项目，王辉主任获得了国家自然科学基金国际(地区)合作与交流项目(牛顿高级学者基金)；陈宏斌、王晓娟和刘昱东获得了国家自然基金面上项目资助；董昭和张雅薇获得国家自然基金青年项目资助。</w:t>
      </w:r>
    </w:p>
    <w:p>
      <w:pPr>
        <w:jc w:val="center"/>
        <w:rPr>
          <w:rFonts w:hint="eastAsia" w:eastAsiaTheme="minorEastAsia"/>
          <w:lang w:eastAsia="zh-CN"/>
        </w:rPr>
      </w:pPr>
      <w:r>
        <w:rPr>
          <w:rFonts w:hint="eastAsia" w:eastAsiaTheme="minorEastAsia"/>
          <w:lang w:eastAsia="zh-CN"/>
        </w:rPr>
        <w:drawing>
          <wp:inline distT="0" distB="0" distL="114300" distR="114300">
            <wp:extent cx="5273040" cy="82550"/>
            <wp:effectExtent l="0" t="0" r="3810" b="12700"/>
            <wp:docPr id="2" name="图片 2" descr="微信图片_20190818202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818202823"/>
                    <pic:cNvPicPr>
                      <a:picLocks noChangeAspect="1"/>
                    </pic:cNvPicPr>
                  </pic:nvPicPr>
                  <pic:blipFill>
                    <a:blip r:embed="rId4"/>
                    <a:stretch>
                      <a:fillRect/>
                    </a:stretch>
                  </pic:blipFill>
                  <pic:spPr>
                    <a:xfrm>
                      <a:off x="0" y="0"/>
                      <a:ext cx="5273040" cy="82550"/>
                    </a:xfrm>
                    <a:prstGeom prst="rect">
                      <a:avLst/>
                    </a:prstGeom>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pPr>
      <w:r>
        <w:drawing>
          <wp:anchor distT="0" distB="0" distL="114935" distR="114935" simplePos="0" relativeHeight="251658240" behindDoc="1" locked="0" layoutInCell="1" allowOverlap="1">
            <wp:simplePos x="0" y="0"/>
            <wp:positionH relativeFrom="column">
              <wp:posOffset>0</wp:posOffset>
            </wp:positionH>
            <wp:positionV relativeFrom="paragraph">
              <wp:posOffset>21590</wp:posOffset>
            </wp:positionV>
            <wp:extent cx="765175" cy="950595"/>
            <wp:effectExtent l="0" t="0" r="0" b="1905"/>
            <wp:wrapThrough wrapText="bothSides">
              <wp:wrapPolygon>
                <wp:start x="0" y="0"/>
                <wp:lineTo x="0" y="21210"/>
                <wp:lineTo x="20973" y="21210"/>
                <wp:lineTo x="20973" y="0"/>
                <wp:lineTo x="0" y="0"/>
              </wp:wrapPolygon>
            </wp:wrapThrough>
            <wp:docPr id="4" name="图片 4" descr="微信图片_20190818202955"/>
            <wp:cNvGraphicFramePr/>
            <a:graphic xmlns:a="http://schemas.openxmlformats.org/drawingml/2006/main">
              <a:graphicData uri="http://schemas.openxmlformats.org/drawingml/2006/picture">
                <pic:pic xmlns:pic="http://schemas.openxmlformats.org/drawingml/2006/picture">
                  <pic:nvPicPr>
                    <pic:cNvPr id="4" name="图片 4" descr="微信图片_20190818202955"/>
                    <pic:cNvPicPr/>
                  </pic:nvPicPr>
                  <pic:blipFill>
                    <a:blip r:embed="rId5"/>
                    <a:stretch>
                      <a:fillRect/>
                    </a:stretch>
                  </pic:blipFill>
                  <pic:spPr>
                    <a:xfrm>
                      <a:off x="0" y="0"/>
                      <a:ext cx="765175" cy="950595"/>
                    </a:xfrm>
                    <a:prstGeom prst="rect">
                      <a:avLst/>
                    </a:prstGeom>
                  </pic:spPr>
                </pic:pic>
              </a:graphicData>
            </a:graphic>
          </wp:anchor>
        </w:drawing>
      </w:r>
      <w:r>
        <w:rPr>
          <w:spacing w:val="0"/>
          <w:bdr w:val="none" w:color="auto" w:sz="0" w:space="0"/>
        </w:rPr>
        <w:t>陈宏斌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dr w:val="none" w:color="auto" w:sz="0" w:space="0"/>
        </w:rPr>
      </w:pPr>
      <w:r>
        <w:rPr>
          <w:bdr w:val="none" w:color="auto" w:sz="0" w:space="0"/>
        </w:rPr>
        <w:t>博士，北京大学人民医院检验科副研究员，2012年至今工作于北京大学人民医院检验科，2017-2018年University College London访问学者研修生物信息学。主要研究方向：细菌耐药机制研究；细菌比较基因组学、转录组学研究；微生物宏基因组学研究。作为课题负责人获批3项国家自然科学基金、国家科技重大专项子课题1项、北京市自然科学基金1项，以第一作者发表SCI文章14篇，中文核心期刊文章7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eastAsiaTheme="minorEastAsia"/>
          <w:bdr w:val="none" w:color="auto" w:sz="0" w:space="0"/>
          <w:lang w:val="en-US" w:eastAsia="zh-CN"/>
        </w:rPr>
      </w:pPr>
      <w:r>
        <w:rPr>
          <w:rFonts w:hint="eastAsia"/>
          <w:bdr w:val="none" w:color="auto" w:sz="0" w:space="0"/>
          <w:lang w:eastAsia="zh-CN"/>
        </w:rPr>
        <w:t>◆获批项目名称：</w:t>
      </w:r>
      <w:r>
        <w:rPr>
          <w:rFonts w:hint="eastAsia"/>
          <w:bdr w:val="none" w:color="auto" w:sz="0" w:space="0"/>
          <w:lang w:val="en-US" w:eastAsia="zh-CN"/>
        </w:rPr>
        <w:t>prkC等重要基因在金黄色葡萄球菌小菌落变异体（SCVs）形成中的作用及其调控机制研究；资助金额55万元。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drawing>
          <wp:anchor distT="0" distB="0" distL="114935" distR="114935" simplePos="0" relativeHeight="251659264" behindDoc="0" locked="0" layoutInCell="1" allowOverlap="1">
            <wp:simplePos x="0" y="0"/>
            <wp:positionH relativeFrom="column">
              <wp:posOffset>4392295</wp:posOffset>
            </wp:positionH>
            <wp:positionV relativeFrom="paragraph">
              <wp:posOffset>189230</wp:posOffset>
            </wp:positionV>
            <wp:extent cx="767080" cy="949325"/>
            <wp:effectExtent l="0" t="0" r="13970" b="3175"/>
            <wp:wrapSquare wrapText="bothSides"/>
            <wp:docPr id="7" name="图片 7" descr="微信图片_20190818204103"/>
            <wp:cNvGraphicFramePr/>
            <a:graphic xmlns:a="http://schemas.openxmlformats.org/drawingml/2006/main">
              <a:graphicData uri="http://schemas.openxmlformats.org/drawingml/2006/picture">
                <pic:pic xmlns:pic="http://schemas.openxmlformats.org/drawingml/2006/picture">
                  <pic:nvPicPr>
                    <pic:cNvPr id="7" name="图片 7" descr="微信图片_20190818204103"/>
                    <pic:cNvPicPr/>
                  </pic:nvPicPr>
                  <pic:blipFill>
                    <a:blip r:embed="rId6"/>
                    <a:stretch>
                      <a:fillRect/>
                    </a:stretch>
                  </pic:blipFill>
                  <pic:spPr>
                    <a:xfrm>
                      <a:off x="0" y="0"/>
                      <a:ext cx="767080" cy="949325"/>
                    </a:xfrm>
                    <a:prstGeom prst="rect">
                      <a:avLst/>
                    </a:prstGeom>
                  </pic:spPr>
                </pic:pic>
              </a:graphicData>
            </a:graphic>
          </wp:anchor>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王晓娟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dr w:val="none" w:color="auto" w:sz="0" w:space="0"/>
        </w:rPr>
      </w:pPr>
      <w:r>
        <w:rPr>
          <w:bdr w:val="none" w:color="auto" w:sz="0" w:space="0"/>
        </w:rPr>
        <w:t>医学博士，毕业于北京大学临床检验诊断学专业，北京大学人民医院检验科助理研究员。2015年8月入职北京大学人民医院检验科。主要研究方向：临床微生物学检验和细菌耐药机制。作为课题负责人获批2项国家自然科学基金，作为项目骨干参与1项科技部国家重点研发计划项目。以第一作者或并列第一作者发表SCI论文8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lang w:val="en-US" w:eastAsia="zh-CN"/>
        </w:rPr>
      </w:pPr>
      <w:r>
        <w:rPr>
          <w:rFonts w:hint="eastAsia"/>
          <w:lang w:eastAsia="zh-CN"/>
        </w:rPr>
        <w:t>◆获批项目名称：肺炎克雷伯菌</w:t>
      </w:r>
      <w:r>
        <w:rPr>
          <w:rFonts w:hint="eastAsia"/>
          <w:lang w:val="en-US" w:eastAsia="zh-CN"/>
        </w:rPr>
        <w:t>Lon蛋白酶系统与RamRA调控替加环素耐药的互作机制研究；资助金额55万元。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lang w:val="en-US" w:eastAsia="zh-CN"/>
        </w:rPr>
      </w:pPr>
      <w:r>
        <w:rPr>
          <w:bdr w:val="none" w:color="auto" w:sz="0" w:space="0"/>
        </w:rPr>
        <w:drawing>
          <wp:anchor distT="0" distB="0" distL="114935" distR="114935" simplePos="0" relativeHeight="251660288" behindDoc="0" locked="0" layoutInCell="1" allowOverlap="1">
            <wp:simplePos x="0" y="0"/>
            <wp:positionH relativeFrom="column">
              <wp:posOffset>0</wp:posOffset>
            </wp:positionH>
            <wp:positionV relativeFrom="paragraph">
              <wp:posOffset>135255</wp:posOffset>
            </wp:positionV>
            <wp:extent cx="767080" cy="950595"/>
            <wp:effectExtent l="0" t="0" r="13970" b="1905"/>
            <wp:wrapSquare wrapText="bothSides"/>
            <wp:docPr id="8" name="图片 8" descr="微信图片_20190818205001"/>
            <wp:cNvGraphicFramePr/>
            <a:graphic xmlns:a="http://schemas.openxmlformats.org/drawingml/2006/main">
              <a:graphicData uri="http://schemas.openxmlformats.org/drawingml/2006/picture">
                <pic:pic xmlns:pic="http://schemas.openxmlformats.org/drawingml/2006/picture">
                  <pic:nvPicPr>
                    <pic:cNvPr id="8" name="图片 8" descr="微信图片_20190818205001"/>
                    <pic:cNvPicPr/>
                  </pic:nvPicPr>
                  <pic:blipFill>
                    <a:blip r:embed="rId7"/>
                    <a:stretch>
                      <a:fillRect/>
                    </a:stretch>
                  </pic:blipFill>
                  <pic:spPr>
                    <a:xfrm>
                      <a:off x="0" y="0"/>
                      <a:ext cx="767080" cy="950595"/>
                    </a:xfrm>
                    <a:prstGeom prst="rect">
                      <a:avLst/>
                    </a:prstGeom>
                  </pic:spPr>
                </pic:pic>
              </a:graphicData>
            </a:graphic>
          </wp:anchor>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刘昱东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博士，毕业于UAB，北京大学人民医院检验科副研究员。2018年10月入职北京大学人民医院检验科。主要研究方向：自身免疫病发病机制。已发表多篇学术论文。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bdr w:val="none" w:color="auto" w:sz="0" w:space="0"/>
          <w:lang w:val="en-US"/>
        </w:rPr>
      </w:pPr>
      <w:r>
        <w:rPr>
          <w:rFonts w:hint="eastAsia"/>
          <w:lang w:eastAsia="zh-CN"/>
        </w:rPr>
        <w:t>◆获批项目名称：</w:t>
      </w:r>
      <w:r>
        <w:rPr>
          <w:rFonts w:hint="eastAsia"/>
          <w:lang w:val="en-US" w:eastAsia="zh-CN"/>
        </w:rPr>
        <w:t>cGAS-STING-IFN I通路在系统性红斑狼疮发病机制中的作用；资助金额55万元。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dr w:val="none" w:color="auto" w:sz="0" w:space="0"/>
        </w:rPr>
      </w:pPr>
      <w:r>
        <w:rPr>
          <w:bdr w:val="none" w:color="auto" w:sz="0" w:space="0"/>
        </w:rPr>
        <w:drawing>
          <wp:anchor distT="0" distB="0" distL="114935" distR="114935" simplePos="0" relativeHeight="251661312" behindDoc="0" locked="0" layoutInCell="1" allowOverlap="1">
            <wp:simplePos x="0" y="0"/>
            <wp:positionH relativeFrom="column">
              <wp:posOffset>4445000</wp:posOffset>
            </wp:positionH>
            <wp:positionV relativeFrom="paragraph">
              <wp:posOffset>57785</wp:posOffset>
            </wp:positionV>
            <wp:extent cx="767080" cy="950595"/>
            <wp:effectExtent l="0" t="0" r="13970" b="1905"/>
            <wp:wrapSquare wrapText="bothSides"/>
            <wp:docPr id="9" name="图片 9" descr="微信图片_20190818205437"/>
            <wp:cNvGraphicFramePr/>
            <a:graphic xmlns:a="http://schemas.openxmlformats.org/drawingml/2006/main">
              <a:graphicData uri="http://schemas.openxmlformats.org/drawingml/2006/picture">
                <pic:pic xmlns:pic="http://schemas.openxmlformats.org/drawingml/2006/picture">
                  <pic:nvPicPr>
                    <pic:cNvPr id="9" name="图片 9" descr="微信图片_20190818205437"/>
                    <pic:cNvPicPr/>
                  </pic:nvPicPr>
                  <pic:blipFill>
                    <a:blip r:embed="rId8"/>
                    <a:stretch>
                      <a:fillRect/>
                    </a:stretch>
                  </pic:blipFill>
                  <pic:spPr>
                    <a:xfrm>
                      <a:off x="0" y="0"/>
                      <a:ext cx="767080" cy="950595"/>
                    </a:xfrm>
                    <a:prstGeom prst="rect">
                      <a:avLst/>
                    </a:prstGeom>
                  </pic:spPr>
                </pic:pic>
              </a:graphicData>
            </a:graphic>
          </wp:anchor>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张雅薇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医学博士，毕业于北京大学医学部，临床检验诊断学专业。2018年至今工作于北京大学人民医院检验科。主要研究方向：临床微生物学和细菌耐药机制研究。以第一作者或并列第一作者发表SCI论文5篇。</w:t>
      </w:r>
    </w:p>
    <w:p>
      <w:pPr>
        <w:jc w:val="both"/>
        <w:rPr>
          <w:rFonts w:hint="eastAsia"/>
          <w:sz w:val="24"/>
          <w:szCs w:val="24"/>
          <w:lang w:val="en-US" w:eastAsia="zh-CN"/>
        </w:rPr>
      </w:pPr>
      <w:r>
        <w:rPr>
          <w:rFonts w:hint="eastAsia"/>
          <w:sz w:val="24"/>
          <w:szCs w:val="24"/>
          <w:lang w:eastAsia="zh-CN"/>
        </w:rPr>
        <w:t>◆获批项目名称：</w:t>
      </w:r>
      <w:r>
        <w:rPr>
          <w:rFonts w:hint="eastAsia"/>
          <w:sz w:val="24"/>
          <w:szCs w:val="24"/>
          <w:lang w:val="en-US" w:eastAsia="zh-CN"/>
        </w:rPr>
        <w:t>CCCP逆转碳青霉烯类耐药肺炎克雷伯菌对粘菌素耐药性的分子机制研究；资助金额21万元。</w:t>
      </w:r>
    </w:p>
    <w:p>
      <w:pPr>
        <w:jc w:val="both"/>
        <w:rPr>
          <w:rFonts w:hint="eastAsia"/>
          <w:sz w:val="24"/>
          <w:szCs w:val="24"/>
          <w:lang w:val="en-US" w:eastAsia="zh-CN"/>
        </w:rPr>
      </w:pPr>
    </w:p>
    <w:p>
      <w:pPr>
        <w:jc w:val="both"/>
        <w:rPr>
          <w:rFonts w:hint="eastAsia"/>
          <w:sz w:val="24"/>
          <w:szCs w:val="24"/>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drawing>
          <wp:anchor distT="0" distB="0" distL="114935" distR="114935" simplePos="0" relativeHeight="251662336" behindDoc="0" locked="0" layoutInCell="1" allowOverlap="1">
            <wp:simplePos x="0" y="0"/>
            <wp:positionH relativeFrom="column">
              <wp:posOffset>-127000</wp:posOffset>
            </wp:positionH>
            <wp:positionV relativeFrom="paragraph">
              <wp:posOffset>53975</wp:posOffset>
            </wp:positionV>
            <wp:extent cx="767080" cy="950595"/>
            <wp:effectExtent l="0" t="0" r="13970" b="1905"/>
            <wp:wrapSquare wrapText="bothSides"/>
            <wp:docPr id="10" name="图片 10" descr="微信图片_20190818205849"/>
            <wp:cNvGraphicFramePr/>
            <a:graphic xmlns:a="http://schemas.openxmlformats.org/drawingml/2006/main">
              <a:graphicData uri="http://schemas.openxmlformats.org/drawingml/2006/picture">
                <pic:pic xmlns:pic="http://schemas.openxmlformats.org/drawingml/2006/picture">
                  <pic:nvPicPr>
                    <pic:cNvPr id="10" name="图片 10" descr="微信图片_20190818205849"/>
                    <pic:cNvPicPr/>
                  </pic:nvPicPr>
                  <pic:blipFill>
                    <a:blip r:embed="rId9"/>
                    <a:stretch>
                      <a:fillRect/>
                    </a:stretch>
                  </pic:blipFill>
                  <pic:spPr>
                    <a:xfrm>
                      <a:off x="0" y="0"/>
                      <a:ext cx="767080" cy="950595"/>
                    </a:xfrm>
                    <a:prstGeom prst="rect">
                      <a:avLst/>
                    </a:prstGeom>
                  </pic:spPr>
                </pic:pic>
              </a:graphicData>
            </a:graphic>
          </wp:anchor>
        </w:drawing>
      </w:r>
      <w:r>
        <w:rPr>
          <w:bdr w:val="none" w:color="auto" w:sz="0" w:space="0"/>
        </w:rPr>
        <w:t>董昭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dr w:val="none" w:color="auto" w:sz="0" w:space="0"/>
        </w:rPr>
      </w:pPr>
      <w:r>
        <w:rPr>
          <w:bdr w:val="none" w:color="auto" w:sz="0" w:space="0"/>
        </w:rPr>
        <w:t>理学博士，毕业于北京大学医学部心血管研究所。2018年8月入职北京大学人民医院检验科。主要研究方向：血脂与脂蛋白代谢异常；脂代谢紊乱和动脉粥样硬化；脂代谢紊乱及相关靶器官损害机制。以第一作者和参与作者身份在《metabolism》、《atherosclerosis》等杂志上发表相关研究。</w:t>
      </w:r>
    </w:p>
    <w:p>
      <w:pPr>
        <w:jc w:val="both"/>
        <w:rPr>
          <w:rFonts w:hint="eastAsia"/>
          <w:sz w:val="24"/>
          <w:szCs w:val="24"/>
          <w:lang w:val="en-US" w:eastAsia="zh-CN"/>
        </w:rPr>
      </w:pPr>
      <w:r>
        <w:rPr>
          <w:rFonts w:hint="eastAsia"/>
          <w:sz w:val="24"/>
          <w:szCs w:val="24"/>
          <w:lang w:eastAsia="zh-CN"/>
        </w:rPr>
        <w:t>◆获批项目名称：应用拟人化仓鼠模型探讨卵磷脂胆固醇酰基转移酶在非酒精性脂肪肝中的作用和机制；</w:t>
      </w:r>
      <w:r>
        <w:rPr>
          <w:rFonts w:hint="eastAsia"/>
          <w:sz w:val="24"/>
          <w:szCs w:val="24"/>
          <w:lang w:val="en-US" w:eastAsia="zh-CN"/>
        </w:rPr>
        <w:t>资助金额20万元。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themeColor="text1"/>
          <w:spacing w:val="8"/>
          <w:sz w:val="24"/>
          <w:szCs w:val="24"/>
          <w:bdr w:val="none" w:color="auto" w:sz="0" w:space="0"/>
          <w:shd w:val="clear" w:fill="FFFFFF"/>
          <w:lang w:val="en-US" w:eastAsia="zh-CN"/>
          <w14:textFill>
            <w14:solidFill>
              <w14:schemeClr w14:val="tx1"/>
            </w14:solidFill>
          </w14:textFill>
        </w:rPr>
      </w:pPr>
      <w:r>
        <w:rPr>
          <w:rFonts w:hint="eastAsia" w:ascii="微软雅黑" w:hAnsi="微软雅黑" w:eastAsia="微软雅黑" w:cs="微软雅黑"/>
          <w:b w:val="0"/>
          <w:i w:val="0"/>
          <w:caps w:val="0"/>
          <w:color w:val="000000" w:themeColor="text1"/>
          <w:spacing w:val="8"/>
          <w:sz w:val="24"/>
          <w:szCs w:val="24"/>
          <w:bdr w:val="none" w:color="auto" w:sz="0" w:space="0"/>
          <w:shd w:val="clear" w:fill="FFFFFF"/>
          <w14:textFill>
            <w14:solidFill>
              <w14:schemeClr w14:val="tx1"/>
            </w14:solidFill>
          </w14:textFill>
        </w:rPr>
        <w:drawing>
          <wp:anchor distT="0" distB="0" distL="114935" distR="114935" simplePos="0" relativeHeight="251663360" behindDoc="0" locked="0" layoutInCell="1" allowOverlap="1">
            <wp:simplePos x="0" y="0"/>
            <wp:positionH relativeFrom="column">
              <wp:posOffset>-20955</wp:posOffset>
            </wp:positionH>
            <wp:positionV relativeFrom="paragraph">
              <wp:posOffset>72390</wp:posOffset>
            </wp:positionV>
            <wp:extent cx="822325" cy="950595"/>
            <wp:effectExtent l="0" t="0" r="15875" b="1905"/>
            <wp:wrapSquare wrapText="bothSides"/>
            <wp:docPr id="12" name="图片 12" descr="6b77c38f77b02f065c6c83f46d8dc71"/>
            <wp:cNvGraphicFramePr/>
            <a:graphic xmlns:a="http://schemas.openxmlformats.org/drawingml/2006/main">
              <a:graphicData uri="http://schemas.openxmlformats.org/drawingml/2006/picture">
                <pic:pic xmlns:pic="http://schemas.openxmlformats.org/drawingml/2006/picture">
                  <pic:nvPicPr>
                    <pic:cNvPr id="12" name="图片 12" descr="6b77c38f77b02f065c6c83f46d8dc71"/>
                    <pic:cNvPicPr/>
                  </pic:nvPicPr>
                  <pic:blipFill>
                    <a:blip r:embed="rId10"/>
                    <a:stretch>
                      <a:fillRect/>
                    </a:stretch>
                  </pic:blipFill>
                  <pic:spPr>
                    <a:xfrm>
                      <a:off x="0" y="0"/>
                      <a:ext cx="822325" cy="950595"/>
                    </a:xfrm>
                    <a:prstGeom prst="rect">
                      <a:avLst/>
                    </a:prstGeom>
                  </pic:spPr>
                </pic:pic>
              </a:graphicData>
            </a:graphic>
          </wp:anchor>
        </w:drawing>
      </w:r>
      <w:r>
        <w:rPr>
          <w:rFonts w:hint="eastAsia" w:ascii="微软雅黑" w:hAnsi="微软雅黑" w:eastAsia="微软雅黑" w:cs="微软雅黑"/>
          <w:b w:val="0"/>
          <w:i w:val="0"/>
          <w:caps w:val="0"/>
          <w:color w:val="000000" w:themeColor="text1"/>
          <w:spacing w:val="8"/>
          <w:sz w:val="24"/>
          <w:szCs w:val="24"/>
          <w:bdr w:val="none" w:color="auto" w:sz="0" w:space="0"/>
          <w:shd w:val="clear" w:fill="FFFFFF"/>
          <w:lang w:val="en-US" w:eastAsia="zh-CN"/>
          <w14:textFill>
            <w14:solidFill>
              <w14:schemeClr w14:val="tx1"/>
            </w14:solidFill>
          </w14:textFill>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themeColor="text1"/>
          <w:spacing w:val="8"/>
          <w:sz w:val="24"/>
          <w:szCs w:val="24"/>
          <w:bdr w:val="none" w:color="auto" w:sz="0" w:space="0"/>
          <w:shd w:val="clear" w:fill="FFFFFF"/>
          <w:lang w:val="en-US" w:eastAsia="zh-CN"/>
          <w14:textFill>
            <w14:solidFill>
              <w14:schemeClr w14:val="tx1"/>
            </w14:solidFill>
          </w14:textFill>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themeColor="text1"/>
          <w:spacing w:val="8"/>
          <w:sz w:val="24"/>
          <w:szCs w:val="24"/>
          <w:bdr w:val="none" w:color="auto" w:sz="0" w:space="0"/>
          <w:shd w:val="clear" w:fill="FFFFFF"/>
          <w:lang w:val="en-US" w:eastAsia="zh-CN"/>
          <w14:textFill>
            <w14:solidFill>
              <w14:schemeClr w14:val="tx1"/>
            </w14:solidFill>
          </w14:textFil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微软雅黑" w:hAnsi="微软雅黑" w:eastAsia="微软雅黑" w:cs="微软雅黑"/>
          <w:b w:val="0"/>
          <w:i w:val="0"/>
          <w:caps w:val="0"/>
          <w:color w:val="000000" w:themeColor="text1"/>
          <w:spacing w:val="8"/>
          <w:sz w:val="24"/>
          <w:szCs w:val="24"/>
          <w14:textFill>
            <w14:solidFill>
              <w14:schemeClr w14:val="tx1"/>
            </w14:solidFill>
          </w14:textFill>
        </w:rPr>
      </w:pPr>
      <w:r>
        <w:rPr>
          <w:rFonts w:hint="eastAsia" w:ascii="微软雅黑" w:hAnsi="微软雅黑" w:eastAsia="微软雅黑" w:cs="微软雅黑"/>
          <w:b w:val="0"/>
          <w:i w:val="0"/>
          <w:caps w:val="0"/>
          <w:color w:val="000000" w:themeColor="text1"/>
          <w:spacing w:val="8"/>
          <w:sz w:val="24"/>
          <w:szCs w:val="24"/>
          <w:bdr w:val="none" w:color="auto" w:sz="0" w:space="0"/>
          <w:shd w:val="clear" w:fill="FFFFFF"/>
          <w14:textFill>
            <w14:solidFill>
              <w14:schemeClr w14:val="tx1"/>
            </w14:solidFill>
          </w14:textFill>
        </w:rPr>
        <w:t>供稿人：张菲菲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themeColor="text1"/>
          <w:spacing w:val="8"/>
          <w:sz w:val="24"/>
          <w:szCs w:val="24"/>
          <w14:textFill>
            <w14:solidFill>
              <w14:schemeClr w14:val="tx1"/>
            </w14:solidFill>
          </w14:textFill>
        </w:rPr>
      </w:pPr>
      <w:r>
        <w:rPr>
          <w:rFonts w:hint="eastAsia" w:ascii="微软雅黑" w:hAnsi="微软雅黑" w:eastAsia="微软雅黑" w:cs="微软雅黑"/>
          <w:b w:val="0"/>
          <w:i w:val="0"/>
          <w:caps w:val="0"/>
          <w:color w:val="000000" w:themeColor="text1"/>
          <w:spacing w:val="8"/>
          <w:sz w:val="24"/>
          <w:szCs w:val="24"/>
          <w:bdr w:val="none" w:color="auto" w:sz="0" w:space="0"/>
          <w:shd w:val="clear" w:fill="FFFFFF"/>
          <w14:textFill>
            <w14:solidFill>
              <w14:schemeClr w14:val="tx1"/>
            </w14:solidFill>
          </w14:textFill>
        </w:rPr>
        <w:t>编辑：冯景泓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themeColor="text1"/>
          <w:spacing w:val="8"/>
          <w:sz w:val="24"/>
          <w:szCs w:val="24"/>
          <w:bdr w:val="none" w:color="auto" w:sz="0" w:space="0"/>
          <w:shd w:val="clear" w:fill="FFFFFF"/>
          <w:lang w:val="en-US" w:eastAsia="zh-CN"/>
          <w14:textFill>
            <w14:solidFill>
              <w14:schemeClr w14:val="tx1"/>
            </w14:solidFill>
          </w14:textFill>
        </w:rPr>
      </w:pPr>
    </w:p>
    <w:p>
      <w:pPr>
        <w:jc w:val="both"/>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C67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I'M Why</cp:lastModifiedBy>
  <dcterms:modified xsi:type="dcterms:W3CDTF">2019-08-18T13:08:28Z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